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31CC4" w14:textId="77777777" w:rsidR="00F8075D" w:rsidRPr="00D03A86" w:rsidRDefault="004422B8" w:rsidP="00940136">
      <w:pPr>
        <w:spacing w:after="0" w:line="240" w:lineRule="auto"/>
        <w:rPr>
          <w:b/>
        </w:rPr>
      </w:pPr>
      <w:r w:rsidRPr="00D03A86">
        <w:rPr>
          <w:b/>
        </w:rPr>
        <w:t xml:space="preserve">Task 2017-18 </w:t>
      </w:r>
      <w:r w:rsidR="000501F8" w:rsidRPr="00D03A86">
        <w:rPr>
          <w:b/>
        </w:rPr>
        <w:t>Disability assessment – country report</w:t>
      </w:r>
    </w:p>
    <w:p w14:paraId="58770ECD" w14:textId="77777777" w:rsidR="00F8075D" w:rsidRPr="00D03A86" w:rsidRDefault="00F8075D" w:rsidP="00940136">
      <w:pPr>
        <w:spacing w:after="0" w:line="240" w:lineRule="auto"/>
      </w:pPr>
    </w:p>
    <w:p w14:paraId="414E755E" w14:textId="77777777" w:rsidR="00F8075D" w:rsidRPr="00D03A86" w:rsidRDefault="00F8075D" w:rsidP="00940136">
      <w:pPr>
        <w:spacing w:after="0" w:line="240" w:lineRule="auto"/>
      </w:pPr>
    </w:p>
    <w:p w14:paraId="7302D979" w14:textId="77777777" w:rsidR="00F8075D" w:rsidRPr="00D03A86" w:rsidRDefault="00F8075D" w:rsidP="00940136">
      <w:pPr>
        <w:spacing w:after="0" w:line="240" w:lineRule="auto"/>
      </w:pPr>
    </w:p>
    <w:p w14:paraId="4B349030" w14:textId="79F97B79" w:rsidR="004422B8" w:rsidRPr="00D03A86" w:rsidRDefault="004422B8" w:rsidP="00940136">
      <w:pPr>
        <w:spacing w:after="0" w:line="240" w:lineRule="auto"/>
      </w:pPr>
      <w:r w:rsidRPr="00D03A86">
        <w:rPr>
          <w:szCs w:val="24"/>
        </w:rPr>
        <w:t>Country:</w:t>
      </w:r>
      <w:r w:rsidR="00B53759" w:rsidRPr="00D03A86">
        <w:rPr>
          <w:szCs w:val="24"/>
        </w:rPr>
        <w:t xml:space="preserve"> Greece</w:t>
      </w:r>
    </w:p>
    <w:p w14:paraId="4B3D56DE" w14:textId="1A94670C" w:rsidR="004422B8" w:rsidRPr="00D03A86" w:rsidRDefault="004422B8" w:rsidP="00940136">
      <w:pPr>
        <w:spacing w:after="0" w:line="240" w:lineRule="auto"/>
        <w:jc w:val="both"/>
        <w:rPr>
          <w:szCs w:val="24"/>
        </w:rPr>
      </w:pPr>
    </w:p>
    <w:p w14:paraId="4A41FB3E" w14:textId="125F661D" w:rsidR="004422B8" w:rsidRPr="00D03A86" w:rsidRDefault="004422B8" w:rsidP="00940136">
      <w:pPr>
        <w:spacing w:after="0" w:line="240" w:lineRule="auto"/>
        <w:jc w:val="both"/>
        <w:rPr>
          <w:szCs w:val="24"/>
        </w:rPr>
      </w:pPr>
      <w:r w:rsidRPr="00D03A86">
        <w:rPr>
          <w:szCs w:val="24"/>
        </w:rPr>
        <w:t xml:space="preserve">Expert(s): </w:t>
      </w:r>
      <w:r w:rsidR="00B53759" w:rsidRPr="00D03A86">
        <w:rPr>
          <w:szCs w:val="24"/>
        </w:rPr>
        <w:t>Eleni Strati</w:t>
      </w:r>
      <w:r w:rsidR="004B4EC1" w:rsidRPr="00D03A86">
        <w:rPr>
          <w:rStyle w:val="FootnoteReference"/>
          <w:szCs w:val="24"/>
        </w:rPr>
        <w:footnoteReference w:id="2"/>
      </w:r>
    </w:p>
    <w:p w14:paraId="1A82A635" w14:textId="122B6ADC" w:rsidR="004422B8" w:rsidRPr="00D03A86" w:rsidRDefault="004422B8" w:rsidP="00940136">
      <w:pPr>
        <w:spacing w:after="0" w:line="240" w:lineRule="auto"/>
        <w:jc w:val="both"/>
        <w:rPr>
          <w:szCs w:val="24"/>
        </w:rPr>
      </w:pPr>
    </w:p>
    <w:p w14:paraId="4DAD35D2" w14:textId="77777777" w:rsidR="00EA22D7" w:rsidRPr="00D03A86" w:rsidRDefault="00EA22D7" w:rsidP="00940136">
      <w:pPr>
        <w:spacing w:after="0" w:line="240" w:lineRule="auto"/>
        <w:jc w:val="both"/>
        <w:rPr>
          <w:szCs w:val="24"/>
        </w:rPr>
      </w:pPr>
      <w:r w:rsidRPr="00D03A86">
        <w:rPr>
          <w:szCs w:val="24"/>
        </w:rPr>
        <w:br w:type="page"/>
      </w:r>
    </w:p>
    <w:p w14:paraId="32787F1A" w14:textId="799523B8" w:rsidR="00EA22D7" w:rsidRPr="00D03A86" w:rsidRDefault="00EA22D7" w:rsidP="00940136">
      <w:pPr>
        <w:spacing w:after="0" w:line="240" w:lineRule="auto"/>
        <w:jc w:val="both"/>
        <w:rPr>
          <w:b/>
          <w:szCs w:val="24"/>
        </w:rPr>
      </w:pPr>
      <w:r w:rsidRPr="00D03A86">
        <w:rPr>
          <w:b/>
          <w:szCs w:val="24"/>
        </w:rPr>
        <w:lastRenderedPageBreak/>
        <w:t>Contents</w:t>
      </w:r>
    </w:p>
    <w:p w14:paraId="69884CF7" w14:textId="77777777" w:rsidR="00F8075D" w:rsidRPr="00D03A86" w:rsidRDefault="00F8075D" w:rsidP="00940136">
      <w:pPr>
        <w:spacing w:after="0" w:line="240" w:lineRule="auto"/>
        <w:jc w:val="both"/>
        <w:rPr>
          <w:b/>
          <w:szCs w:val="24"/>
        </w:rPr>
      </w:pPr>
    </w:p>
    <w:p w14:paraId="7E0A0A40" w14:textId="7CAC6E02" w:rsidR="00D03A86" w:rsidRDefault="00F8075D" w:rsidP="00D03A86">
      <w:pPr>
        <w:pStyle w:val="TOC1"/>
        <w:rPr>
          <w:rFonts w:asciiTheme="minorHAnsi" w:eastAsiaTheme="minorEastAsia" w:hAnsiTheme="minorHAnsi" w:cstheme="minorBidi"/>
          <w:noProof/>
          <w:sz w:val="22"/>
          <w:lang w:val="nl-NL" w:eastAsia="nl-NL"/>
        </w:rPr>
      </w:pPr>
      <w:r w:rsidRPr="00D03A86">
        <w:rPr>
          <w:szCs w:val="24"/>
        </w:rPr>
        <w:fldChar w:fldCharType="begin"/>
      </w:r>
      <w:r w:rsidRPr="00D03A86">
        <w:rPr>
          <w:szCs w:val="24"/>
        </w:rPr>
        <w:instrText xml:space="preserve"> TOC \o "1-2" \h \z \u </w:instrText>
      </w:r>
      <w:r w:rsidRPr="00D03A86">
        <w:rPr>
          <w:szCs w:val="24"/>
        </w:rPr>
        <w:fldChar w:fldCharType="separate"/>
      </w:r>
      <w:hyperlink w:anchor="_Toc536024022" w:history="1">
        <w:r w:rsidR="00D03A86" w:rsidRPr="00005F4D">
          <w:rPr>
            <w:rStyle w:val="Hyperlink"/>
            <w:noProof/>
          </w:rPr>
          <w:t>Part 1 – Main forms of disability assessment</w:t>
        </w:r>
        <w:r w:rsidR="00D03A86">
          <w:rPr>
            <w:noProof/>
            <w:webHidden/>
          </w:rPr>
          <w:tab/>
        </w:r>
        <w:r w:rsidR="00D03A86">
          <w:rPr>
            <w:noProof/>
            <w:webHidden/>
          </w:rPr>
          <w:fldChar w:fldCharType="begin"/>
        </w:r>
        <w:r w:rsidR="00D03A86">
          <w:rPr>
            <w:noProof/>
            <w:webHidden/>
          </w:rPr>
          <w:instrText xml:space="preserve"> PAGEREF _Toc536024022 \h </w:instrText>
        </w:r>
        <w:r w:rsidR="00D03A86">
          <w:rPr>
            <w:noProof/>
            <w:webHidden/>
          </w:rPr>
        </w:r>
        <w:r w:rsidR="00D03A86">
          <w:rPr>
            <w:noProof/>
            <w:webHidden/>
          </w:rPr>
          <w:fldChar w:fldCharType="separate"/>
        </w:r>
        <w:r w:rsidR="00D03A86">
          <w:rPr>
            <w:noProof/>
            <w:webHidden/>
          </w:rPr>
          <w:t>2</w:t>
        </w:r>
        <w:r w:rsidR="00D03A86">
          <w:rPr>
            <w:noProof/>
            <w:webHidden/>
          </w:rPr>
          <w:fldChar w:fldCharType="end"/>
        </w:r>
      </w:hyperlink>
    </w:p>
    <w:p w14:paraId="62382A3D" w14:textId="508235C5" w:rsidR="00D03A86" w:rsidRDefault="00D03A86" w:rsidP="00D03A86">
      <w:pPr>
        <w:pStyle w:val="TOC1"/>
        <w:rPr>
          <w:rFonts w:asciiTheme="minorHAnsi" w:eastAsiaTheme="minorEastAsia" w:hAnsiTheme="minorHAnsi" w:cstheme="minorBidi"/>
          <w:noProof/>
          <w:sz w:val="22"/>
          <w:lang w:val="nl-NL" w:eastAsia="nl-NL"/>
        </w:rPr>
      </w:pPr>
      <w:hyperlink w:anchor="_Toc536024023" w:history="1">
        <w:r w:rsidRPr="00005F4D">
          <w:rPr>
            <w:rStyle w:val="Hyperlink"/>
            <w:noProof/>
          </w:rPr>
          <w:t>Part 2 – Analysis and evaluation of specific assessments</w:t>
        </w:r>
        <w:r>
          <w:rPr>
            <w:noProof/>
            <w:webHidden/>
          </w:rPr>
          <w:tab/>
        </w:r>
        <w:r>
          <w:rPr>
            <w:noProof/>
            <w:webHidden/>
          </w:rPr>
          <w:fldChar w:fldCharType="begin"/>
        </w:r>
        <w:r>
          <w:rPr>
            <w:noProof/>
            <w:webHidden/>
          </w:rPr>
          <w:instrText xml:space="preserve"> PAGEREF _Toc536024023 \h </w:instrText>
        </w:r>
        <w:r>
          <w:rPr>
            <w:noProof/>
            <w:webHidden/>
          </w:rPr>
        </w:r>
        <w:r>
          <w:rPr>
            <w:noProof/>
            <w:webHidden/>
          </w:rPr>
          <w:fldChar w:fldCharType="separate"/>
        </w:r>
        <w:r>
          <w:rPr>
            <w:noProof/>
            <w:webHidden/>
          </w:rPr>
          <w:t>5</w:t>
        </w:r>
        <w:r>
          <w:rPr>
            <w:noProof/>
            <w:webHidden/>
          </w:rPr>
          <w:fldChar w:fldCharType="end"/>
        </w:r>
      </w:hyperlink>
    </w:p>
    <w:p w14:paraId="1FB96311" w14:textId="108B27D2" w:rsidR="00D03A86" w:rsidRDefault="00D03A86" w:rsidP="00D03A86">
      <w:pPr>
        <w:pStyle w:val="TOC2"/>
        <w:tabs>
          <w:tab w:val="right" w:leader="dot" w:pos="9060"/>
        </w:tabs>
        <w:spacing w:after="0"/>
        <w:ind w:left="0"/>
        <w:rPr>
          <w:rFonts w:asciiTheme="minorHAnsi" w:eastAsiaTheme="minorEastAsia" w:hAnsiTheme="minorHAnsi" w:cstheme="minorBidi"/>
          <w:noProof/>
          <w:sz w:val="22"/>
          <w:lang w:val="nl-NL" w:eastAsia="nl-NL"/>
        </w:rPr>
      </w:pPr>
      <w:hyperlink w:anchor="_Toc536024024" w:history="1">
        <w:r w:rsidRPr="00005F4D">
          <w:rPr>
            <w:rStyle w:val="Hyperlink"/>
            <w:noProof/>
          </w:rPr>
          <w:t>Case study 1: C</w:t>
        </w:r>
        <w:r w:rsidRPr="00005F4D">
          <w:rPr>
            <w:rStyle w:val="Hyperlink"/>
            <w:noProof/>
          </w:rPr>
          <w:t>e</w:t>
        </w:r>
        <w:r w:rsidRPr="00005F4D">
          <w:rPr>
            <w:rStyle w:val="Hyperlink"/>
            <w:noProof/>
          </w:rPr>
          <w:t>rtification of disability</w:t>
        </w:r>
        <w:r>
          <w:rPr>
            <w:noProof/>
            <w:webHidden/>
          </w:rPr>
          <w:tab/>
        </w:r>
        <w:r>
          <w:rPr>
            <w:noProof/>
            <w:webHidden/>
          </w:rPr>
          <w:fldChar w:fldCharType="begin"/>
        </w:r>
        <w:r>
          <w:rPr>
            <w:noProof/>
            <w:webHidden/>
          </w:rPr>
          <w:instrText xml:space="preserve"> PAGEREF _Toc536024024 \h </w:instrText>
        </w:r>
        <w:r>
          <w:rPr>
            <w:noProof/>
            <w:webHidden/>
          </w:rPr>
        </w:r>
        <w:r>
          <w:rPr>
            <w:noProof/>
            <w:webHidden/>
          </w:rPr>
          <w:fldChar w:fldCharType="separate"/>
        </w:r>
        <w:r>
          <w:rPr>
            <w:noProof/>
            <w:webHidden/>
          </w:rPr>
          <w:t>5</w:t>
        </w:r>
        <w:r>
          <w:rPr>
            <w:noProof/>
            <w:webHidden/>
          </w:rPr>
          <w:fldChar w:fldCharType="end"/>
        </w:r>
      </w:hyperlink>
    </w:p>
    <w:p w14:paraId="261A5526" w14:textId="56CA324F" w:rsidR="00D03A86" w:rsidRDefault="00D03A86" w:rsidP="00D03A86">
      <w:pPr>
        <w:pStyle w:val="TOC2"/>
        <w:tabs>
          <w:tab w:val="right" w:leader="dot" w:pos="9060"/>
        </w:tabs>
        <w:spacing w:after="0"/>
        <w:ind w:left="0"/>
        <w:rPr>
          <w:rFonts w:asciiTheme="minorHAnsi" w:eastAsiaTheme="minorEastAsia" w:hAnsiTheme="minorHAnsi" w:cstheme="minorBidi"/>
          <w:noProof/>
          <w:sz w:val="22"/>
          <w:lang w:val="nl-NL" w:eastAsia="nl-NL"/>
        </w:rPr>
      </w:pPr>
      <w:hyperlink w:anchor="_Toc536024025" w:history="1">
        <w:r w:rsidRPr="00005F4D">
          <w:rPr>
            <w:rStyle w:val="Hyperlink"/>
            <w:noProof/>
          </w:rPr>
          <w:t>Case study 2: A</w:t>
        </w:r>
        <w:r w:rsidRPr="00005F4D">
          <w:rPr>
            <w:rStyle w:val="Hyperlink"/>
            <w:noProof/>
          </w:rPr>
          <w:t>c</w:t>
        </w:r>
        <w:r w:rsidRPr="00005F4D">
          <w:rPr>
            <w:rStyle w:val="Hyperlink"/>
            <w:noProof/>
          </w:rPr>
          <w:t>cess to various disability benefits</w:t>
        </w:r>
        <w:r>
          <w:rPr>
            <w:noProof/>
            <w:webHidden/>
          </w:rPr>
          <w:tab/>
        </w:r>
        <w:r>
          <w:rPr>
            <w:noProof/>
            <w:webHidden/>
          </w:rPr>
          <w:fldChar w:fldCharType="begin"/>
        </w:r>
        <w:r>
          <w:rPr>
            <w:noProof/>
            <w:webHidden/>
          </w:rPr>
          <w:instrText xml:space="preserve"> PAGEREF _Toc536024025 \h </w:instrText>
        </w:r>
        <w:r>
          <w:rPr>
            <w:noProof/>
            <w:webHidden/>
          </w:rPr>
        </w:r>
        <w:r>
          <w:rPr>
            <w:noProof/>
            <w:webHidden/>
          </w:rPr>
          <w:fldChar w:fldCharType="separate"/>
        </w:r>
        <w:r>
          <w:rPr>
            <w:noProof/>
            <w:webHidden/>
          </w:rPr>
          <w:t>12</w:t>
        </w:r>
        <w:r>
          <w:rPr>
            <w:noProof/>
            <w:webHidden/>
          </w:rPr>
          <w:fldChar w:fldCharType="end"/>
        </w:r>
      </w:hyperlink>
    </w:p>
    <w:p w14:paraId="5B4161B4" w14:textId="621133A4" w:rsidR="00D03A86" w:rsidRDefault="00D03A86" w:rsidP="00D03A86">
      <w:pPr>
        <w:pStyle w:val="TOC2"/>
        <w:tabs>
          <w:tab w:val="right" w:leader="dot" w:pos="9060"/>
        </w:tabs>
        <w:spacing w:after="0"/>
        <w:ind w:left="0"/>
        <w:rPr>
          <w:rFonts w:asciiTheme="minorHAnsi" w:eastAsiaTheme="minorEastAsia" w:hAnsiTheme="minorHAnsi" w:cstheme="minorBidi"/>
          <w:noProof/>
          <w:sz w:val="22"/>
          <w:lang w:val="nl-NL" w:eastAsia="nl-NL"/>
        </w:rPr>
      </w:pPr>
      <w:hyperlink w:anchor="_Toc536024026" w:history="1">
        <w:r w:rsidRPr="00005F4D">
          <w:rPr>
            <w:rStyle w:val="Hyperlink"/>
            <w:noProof/>
          </w:rPr>
          <w:t>Case stu</w:t>
        </w:r>
        <w:r w:rsidRPr="00005F4D">
          <w:rPr>
            <w:rStyle w:val="Hyperlink"/>
            <w:noProof/>
          </w:rPr>
          <w:t>d</w:t>
        </w:r>
        <w:r w:rsidRPr="00005F4D">
          <w:rPr>
            <w:rStyle w:val="Hyperlink"/>
            <w:noProof/>
          </w:rPr>
          <w:t>y 3: Additional support at school (primary and secondary education)</w:t>
        </w:r>
        <w:r>
          <w:rPr>
            <w:noProof/>
            <w:webHidden/>
          </w:rPr>
          <w:tab/>
        </w:r>
        <w:r>
          <w:rPr>
            <w:noProof/>
            <w:webHidden/>
          </w:rPr>
          <w:fldChar w:fldCharType="begin"/>
        </w:r>
        <w:r>
          <w:rPr>
            <w:noProof/>
            <w:webHidden/>
          </w:rPr>
          <w:instrText xml:space="preserve"> PAGEREF _Toc536024026 \h </w:instrText>
        </w:r>
        <w:r>
          <w:rPr>
            <w:noProof/>
            <w:webHidden/>
          </w:rPr>
        </w:r>
        <w:r>
          <w:rPr>
            <w:noProof/>
            <w:webHidden/>
          </w:rPr>
          <w:fldChar w:fldCharType="separate"/>
        </w:r>
        <w:r>
          <w:rPr>
            <w:noProof/>
            <w:webHidden/>
          </w:rPr>
          <w:t>16</w:t>
        </w:r>
        <w:r>
          <w:rPr>
            <w:noProof/>
            <w:webHidden/>
          </w:rPr>
          <w:fldChar w:fldCharType="end"/>
        </w:r>
      </w:hyperlink>
    </w:p>
    <w:p w14:paraId="764E1A7E" w14:textId="4ED8D31B" w:rsidR="00D03A86" w:rsidRDefault="00D03A86" w:rsidP="00D03A86">
      <w:pPr>
        <w:pStyle w:val="TOC1"/>
        <w:rPr>
          <w:rFonts w:asciiTheme="minorHAnsi" w:eastAsiaTheme="minorEastAsia" w:hAnsiTheme="minorHAnsi" w:cstheme="minorBidi"/>
          <w:noProof/>
          <w:sz w:val="22"/>
          <w:lang w:val="nl-NL" w:eastAsia="nl-NL"/>
        </w:rPr>
      </w:pPr>
      <w:hyperlink w:anchor="_Toc536024027" w:history="1">
        <w:r w:rsidRPr="00005F4D">
          <w:rPr>
            <w:rStyle w:val="Hyperlink"/>
            <w:noProof/>
          </w:rPr>
          <w:t>Summary and conclusion</w:t>
        </w:r>
        <w:r>
          <w:rPr>
            <w:noProof/>
            <w:webHidden/>
          </w:rPr>
          <w:tab/>
        </w:r>
        <w:r>
          <w:rPr>
            <w:noProof/>
            <w:webHidden/>
          </w:rPr>
          <w:fldChar w:fldCharType="begin"/>
        </w:r>
        <w:r>
          <w:rPr>
            <w:noProof/>
            <w:webHidden/>
          </w:rPr>
          <w:instrText xml:space="preserve"> PAGEREF _Toc536024027 \h </w:instrText>
        </w:r>
        <w:r>
          <w:rPr>
            <w:noProof/>
            <w:webHidden/>
          </w:rPr>
        </w:r>
        <w:r>
          <w:rPr>
            <w:noProof/>
            <w:webHidden/>
          </w:rPr>
          <w:fldChar w:fldCharType="separate"/>
        </w:r>
        <w:r>
          <w:rPr>
            <w:noProof/>
            <w:webHidden/>
          </w:rPr>
          <w:t>24</w:t>
        </w:r>
        <w:r>
          <w:rPr>
            <w:noProof/>
            <w:webHidden/>
          </w:rPr>
          <w:fldChar w:fldCharType="end"/>
        </w:r>
      </w:hyperlink>
    </w:p>
    <w:p w14:paraId="0E98072A" w14:textId="50DE5FB2" w:rsidR="004422B8" w:rsidRPr="00D03A86" w:rsidRDefault="00F8075D" w:rsidP="00D03A86">
      <w:pPr>
        <w:spacing w:after="0" w:line="240" w:lineRule="auto"/>
        <w:jc w:val="both"/>
        <w:rPr>
          <w:szCs w:val="24"/>
        </w:rPr>
      </w:pPr>
      <w:r w:rsidRPr="00D03A86">
        <w:rPr>
          <w:szCs w:val="24"/>
        </w:rPr>
        <w:fldChar w:fldCharType="end"/>
      </w:r>
      <w:r w:rsidR="004422B8" w:rsidRPr="00D03A86">
        <w:rPr>
          <w:szCs w:val="24"/>
        </w:rPr>
        <w:br w:type="page"/>
      </w:r>
    </w:p>
    <w:p w14:paraId="031AA84F" w14:textId="315AD5DF" w:rsidR="00A14DB6" w:rsidRPr="00D03A86" w:rsidRDefault="00A14DB6" w:rsidP="00940136">
      <w:pPr>
        <w:pStyle w:val="Heading1"/>
        <w:jc w:val="both"/>
        <w:rPr>
          <w:color w:val="FF0000"/>
          <w:szCs w:val="24"/>
          <w:lang w:val="en-GB"/>
        </w:rPr>
      </w:pPr>
      <w:bookmarkStart w:id="0" w:name="_Toc536024022"/>
      <w:r w:rsidRPr="00D03A86">
        <w:rPr>
          <w:szCs w:val="24"/>
          <w:lang w:val="en-GB"/>
        </w:rPr>
        <w:lastRenderedPageBreak/>
        <w:t>Part 1 – Main forms of disability assessment</w:t>
      </w:r>
      <w:bookmarkEnd w:id="0"/>
    </w:p>
    <w:p w14:paraId="3DDDA964" w14:textId="557E1E03" w:rsidR="00E3006C" w:rsidRPr="00D03A86" w:rsidRDefault="00E3006C" w:rsidP="00940136">
      <w:pPr>
        <w:spacing w:after="0" w:line="240" w:lineRule="auto"/>
        <w:jc w:val="both"/>
        <w:rPr>
          <w:szCs w:val="24"/>
        </w:rPr>
      </w:pPr>
    </w:p>
    <w:p w14:paraId="625243DC" w14:textId="4BB90FB7" w:rsidR="004422B8" w:rsidRPr="00D03A86" w:rsidRDefault="004422B8" w:rsidP="00940136">
      <w:pPr>
        <w:spacing w:after="0" w:line="240" w:lineRule="auto"/>
        <w:jc w:val="both"/>
        <w:rPr>
          <w:szCs w:val="24"/>
        </w:rPr>
      </w:pPr>
      <w:r w:rsidRPr="00D03A86">
        <w:rPr>
          <w:szCs w:val="24"/>
        </w:rPr>
        <w:t xml:space="preserve">The following forms of disability assessment are currently in use </w:t>
      </w:r>
      <w:r w:rsidR="00184F4D" w:rsidRPr="00D03A86">
        <w:rPr>
          <w:szCs w:val="24"/>
        </w:rPr>
        <w:t xml:space="preserve">in </w:t>
      </w:r>
      <w:r w:rsidR="00B53759" w:rsidRPr="00D03A86">
        <w:rPr>
          <w:szCs w:val="24"/>
        </w:rPr>
        <w:t>Greece</w:t>
      </w:r>
      <w:r w:rsidRPr="00D03A86">
        <w:rPr>
          <w:szCs w:val="24"/>
        </w:rPr>
        <w:t xml:space="preserve"> for a variety of purposes.</w:t>
      </w:r>
    </w:p>
    <w:p w14:paraId="62B60756" w14:textId="3AA573F0" w:rsidR="004422B8" w:rsidRPr="00D03A86" w:rsidRDefault="004422B8" w:rsidP="00940136">
      <w:pPr>
        <w:spacing w:after="0" w:line="240" w:lineRule="auto"/>
        <w:jc w:val="both"/>
        <w:rPr>
          <w:szCs w:val="24"/>
        </w:rPr>
      </w:pPr>
    </w:p>
    <w:p w14:paraId="645228F4" w14:textId="77777777" w:rsidR="006D2E52" w:rsidRPr="00D03A86" w:rsidRDefault="004422B8" w:rsidP="00940136">
      <w:pPr>
        <w:spacing w:after="0" w:line="240" w:lineRule="auto"/>
        <w:jc w:val="both"/>
        <w:rPr>
          <w:b/>
          <w:szCs w:val="24"/>
        </w:rPr>
      </w:pPr>
      <w:r w:rsidRPr="00D03A86">
        <w:rPr>
          <w:b/>
          <w:szCs w:val="24"/>
        </w:rPr>
        <w:t>Example 1</w:t>
      </w:r>
    </w:p>
    <w:p w14:paraId="05967A63" w14:textId="77777777" w:rsidR="008C16E8" w:rsidRPr="00D03A86" w:rsidRDefault="00BE0309" w:rsidP="00940136">
      <w:pPr>
        <w:spacing w:after="0" w:line="240" w:lineRule="auto"/>
        <w:jc w:val="both"/>
        <w:rPr>
          <w:szCs w:val="24"/>
        </w:rPr>
      </w:pPr>
      <w:r w:rsidRPr="00D03A86">
        <w:rPr>
          <w:szCs w:val="24"/>
        </w:rPr>
        <w:t>C</w:t>
      </w:r>
      <w:r w:rsidR="00B53759" w:rsidRPr="00D03A86">
        <w:rPr>
          <w:szCs w:val="24"/>
        </w:rPr>
        <w:t xml:space="preserve">omprehensive assessment for multiple purposes, including </w:t>
      </w:r>
      <w:r w:rsidRPr="00D03A86">
        <w:rPr>
          <w:szCs w:val="24"/>
        </w:rPr>
        <w:t xml:space="preserve">admission to a general register or status of disabled person(s), </w:t>
      </w:r>
      <w:r w:rsidR="00B53759" w:rsidRPr="00D03A86">
        <w:rPr>
          <w:szCs w:val="24"/>
        </w:rPr>
        <w:t xml:space="preserve">disability pensions, disability </w:t>
      </w:r>
      <w:r w:rsidRPr="00D03A86">
        <w:rPr>
          <w:szCs w:val="24"/>
        </w:rPr>
        <w:t>benefits in cash and kind, any other social provisions requiring certification of disability</w:t>
      </w:r>
      <w:r w:rsidR="00BB3EE8" w:rsidRPr="00D03A86">
        <w:rPr>
          <w:szCs w:val="24"/>
        </w:rPr>
        <w:t xml:space="preserve"> (including access to employment quota schemes and special education/ support in education).</w:t>
      </w:r>
    </w:p>
    <w:p w14:paraId="1CB92880" w14:textId="78E1DAD7" w:rsidR="008C16E8" w:rsidRPr="00D03A86" w:rsidRDefault="008C16E8" w:rsidP="00940136">
      <w:pPr>
        <w:spacing w:after="0" w:line="240" w:lineRule="auto"/>
        <w:jc w:val="both"/>
        <w:rPr>
          <w:szCs w:val="24"/>
        </w:rPr>
      </w:pPr>
    </w:p>
    <w:p w14:paraId="2013CEA0" w14:textId="77777777" w:rsidR="00900BAF" w:rsidRPr="00D03A86" w:rsidRDefault="00900BAF" w:rsidP="00940136">
      <w:pPr>
        <w:spacing w:after="0" w:line="240" w:lineRule="auto"/>
        <w:jc w:val="both"/>
        <w:rPr>
          <w:b/>
          <w:szCs w:val="24"/>
        </w:rPr>
      </w:pPr>
      <w:r w:rsidRPr="00D03A86">
        <w:rPr>
          <w:b/>
          <w:szCs w:val="24"/>
        </w:rPr>
        <w:t xml:space="preserve">Example 1: </w:t>
      </w:r>
      <w:r w:rsidRPr="00D03A86">
        <w:rPr>
          <w:rFonts w:eastAsia="Times New Roman"/>
          <w:b/>
          <w:bCs/>
          <w:color w:val="000000"/>
          <w:szCs w:val="24"/>
          <w:lang w:eastAsia="en-GB"/>
        </w:rPr>
        <w:t>Certification of Disability</w:t>
      </w:r>
    </w:p>
    <w:p w14:paraId="60017E21" w14:textId="77777777" w:rsidR="00900BAF" w:rsidRPr="00D03A86" w:rsidRDefault="00900BAF" w:rsidP="00940136">
      <w:pPr>
        <w:spacing w:after="0" w:line="240" w:lineRule="auto"/>
        <w:jc w:val="both"/>
        <w:rPr>
          <w:rFonts w:eastAsia="Times New Roman"/>
          <w:color w:val="000000"/>
          <w:szCs w:val="24"/>
          <w:lang w:eastAsia="en-GB"/>
        </w:rPr>
      </w:pPr>
    </w:p>
    <w:p w14:paraId="49B66640" w14:textId="593BA3A3"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Policy function: Assessment for multiple purposes (access to various disability benefits).</w:t>
      </w:r>
    </w:p>
    <w:p w14:paraId="647993C3" w14:textId="77777777" w:rsidR="00900BAF" w:rsidRPr="00D03A86" w:rsidRDefault="00900BAF" w:rsidP="00940136">
      <w:pPr>
        <w:spacing w:after="0" w:line="240" w:lineRule="auto"/>
        <w:jc w:val="both"/>
        <w:rPr>
          <w:rFonts w:eastAsia="Times New Roman"/>
          <w:color w:val="000000"/>
          <w:szCs w:val="24"/>
          <w:lang w:eastAsia="en-GB"/>
        </w:rPr>
      </w:pPr>
    </w:p>
    <w:p w14:paraId="757D7E09" w14:textId="514067B2"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Benefit: Benefits in cash (e.g. pension).</w:t>
      </w:r>
      <w:r w:rsidR="00147B0A" w:rsidRPr="00D03A86">
        <w:rPr>
          <w:rFonts w:eastAsia="Times New Roman"/>
          <w:color w:val="000000"/>
          <w:szCs w:val="24"/>
          <w:lang w:eastAsia="en-GB"/>
        </w:rPr>
        <w:t xml:space="preserve"> </w:t>
      </w:r>
      <w:r w:rsidRPr="00D03A86">
        <w:rPr>
          <w:rFonts w:eastAsia="Times New Roman"/>
          <w:color w:val="000000"/>
          <w:szCs w:val="24"/>
          <w:lang w:eastAsia="en-GB"/>
        </w:rPr>
        <w:t>Benefits in kind (e.g. services).</w:t>
      </w:r>
      <w:r w:rsidR="00147B0A" w:rsidRPr="00D03A86">
        <w:rPr>
          <w:rFonts w:eastAsia="Times New Roman"/>
          <w:color w:val="000000"/>
          <w:szCs w:val="24"/>
          <w:lang w:eastAsia="en-GB"/>
        </w:rPr>
        <w:t xml:space="preserve"> </w:t>
      </w:r>
      <w:r w:rsidRPr="00D03A86">
        <w:rPr>
          <w:rFonts w:eastAsia="Times New Roman"/>
          <w:color w:val="000000"/>
          <w:szCs w:val="24"/>
          <w:lang w:eastAsia="en-GB"/>
        </w:rPr>
        <w:t>Beneficial treatment (e.g. eligibility to apply for quota jobs).</w:t>
      </w:r>
      <w:r w:rsidR="00147B0A" w:rsidRPr="00D03A86">
        <w:rPr>
          <w:rFonts w:eastAsia="Times New Roman"/>
          <w:color w:val="000000"/>
          <w:szCs w:val="24"/>
          <w:lang w:eastAsia="en-GB"/>
        </w:rPr>
        <w:t xml:space="preserve"> </w:t>
      </w:r>
      <w:r w:rsidRPr="00D03A86">
        <w:rPr>
          <w:rFonts w:eastAsia="Times New Roman"/>
          <w:color w:val="000000"/>
          <w:szCs w:val="24"/>
          <w:lang w:eastAsia="en-GB"/>
        </w:rPr>
        <w:t>Discounts or concessions (e.g. tax allowances).</w:t>
      </w:r>
      <w:r w:rsidR="00147B0A" w:rsidRPr="00D03A86">
        <w:rPr>
          <w:rFonts w:eastAsia="Times New Roman"/>
          <w:color w:val="000000"/>
          <w:szCs w:val="24"/>
          <w:lang w:eastAsia="en-GB"/>
        </w:rPr>
        <w:t xml:space="preserve"> </w:t>
      </w:r>
      <w:r w:rsidRPr="00D03A86">
        <w:rPr>
          <w:rFonts w:eastAsia="Times New Roman"/>
          <w:color w:val="000000"/>
          <w:szCs w:val="24"/>
          <w:lang w:eastAsia="en-GB"/>
        </w:rPr>
        <w:t>Other</w:t>
      </w:r>
      <w:r w:rsidR="003327C4" w:rsidRPr="00D03A86">
        <w:rPr>
          <w:rFonts w:eastAsia="Times New Roman"/>
          <w:color w:val="000000"/>
          <w:szCs w:val="24"/>
          <w:lang w:eastAsia="en-GB"/>
        </w:rPr>
        <w:t>.</w:t>
      </w:r>
    </w:p>
    <w:p w14:paraId="1D89F653" w14:textId="77777777" w:rsidR="00900BAF" w:rsidRPr="00D03A86" w:rsidRDefault="00900BAF" w:rsidP="00940136">
      <w:pPr>
        <w:spacing w:after="0" w:line="240" w:lineRule="auto"/>
        <w:jc w:val="both"/>
        <w:rPr>
          <w:rFonts w:eastAsia="Times New Roman"/>
          <w:color w:val="000000"/>
          <w:szCs w:val="24"/>
          <w:lang w:eastAsia="en-GB"/>
        </w:rPr>
      </w:pPr>
    </w:p>
    <w:p w14:paraId="6A5928D6" w14:textId="2C1FF15F"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Any social provision related to disability status; example not covered above includes parking permit, access to university </w:t>
      </w:r>
      <w:r w:rsidR="00147B0A" w:rsidRPr="00D03A86">
        <w:rPr>
          <w:rFonts w:eastAsia="Times New Roman"/>
          <w:color w:val="000000"/>
          <w:szCs w:val="24"/>
          <w:lang w:eastAsia="en-GB"/>
        </w:rPr>
        <w:t>under the</w:t>
      </w:r>
      <w:r w:rsidRPr="00D03A86">
        <w:rPr>
          <w:rFonts w:eastAsia="Times New Roman"/>
          <w:color w:val="000000"/>
          <w:szCs w:val="24"/>
          <w:lang w:eastAsia="en-GB"/>
        </w:rPr>
        <w:t xml:space="preserve"> 5% quota scheme, discount </w:t>
      </w:r>
      <w:r w:rsidR="00147B0A" w:rsidRPr="00D03A86">
        <w:rPr>
          <w:rFonts w:eastAsia="Times New Roman"/>
          <w:color w:val="000000"/>
          <w:szCs w:val="24"/>
          <w:lang w:eastAsia="en-GB"/>
        </w:rPr>
        <w:t>on</w:t>
      </w:r>
      <w:r w:rsidRPr="00D03A86">
        <w:rPr>
          <w:rFonts w:eastAsia="Times New Roman"/>
          <w:color w:val="000000"/>
          <w:szCs w:val="24"/>
          <w:lang w:eastAsia="en-GB"/>
        </w:rPr>
        <w:t xml:space="preserve"> public electricity and telephone services</w:t>
      </w:r>
      <w:r w:rsidR="00097591" w:rsidRPr="00D03A86">
        <w:rPr>
          <w:rFonts w:eastAsia="Times New Roman"/>
          <w:color w:val="000000"/>
          <w:szCs w:val="24"/>
          <w:lang w:eastAsia="en-GB"/>
        </w:rPr>
        <w:t>.</w:t>
      </w:r>
      <w:r w:rsidRPr="00D03A86">
        <w:rPr>
          <w:rFonts w:eastAsia="Times New Roman"/>
          <w:color w:val="000000"/>
          <w:szCs w:val="24"/>
          <w:lang w:eastAsia="en-GB"/>
        </w:rPr>
        <w:t xml:space="preserve"> </w:t>
      </w:r>
    </w:p>
    <w:p w14:paraId="43920559" w14:textId="77777777" w:rsidR="00B333D2" w:rsidRPr="00D03A86" w:rsidRDefault="00B333D2" w:rsidP="00940136">
      <w:pPr>
        <w:spacing w:after="0" w:line="240" w:lineRule="auto"/>
        <w:jc w:val="both"/>
        <w:rPr>
          <w:rFonts w:eastAsia="Times New Roman"/>
          <w:color w:val="000000"/>
          <w:szCs w:val="24"/>
          <w:lang w:eastAsia="en-GB"/>
        </w:rPr>
      </w:pPr>
    </w:p>
    <w:p w14:paraId="79808676" w14:textId="63B57C1A"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Specificity: The disability assessment is designed for this specific purpose.</w:t>
      </w:r>
    </w:p>
    <w:p w14:paraId="7E17BFBE" w14:textId="77777777" w:rsidR="00900BAF" w:rsidRPr="00D03A86" w:rsidRDefault="00900BAF" w:rsidP="00940136">
      <w:pPr>
        <w:spacing w:after="0" w:line="240" w:lineRule="auto"/>
        <w:jc w:val="both"/>
        <w:rPr>
          <w:rFonts w:eastAsia="Times New Roman"/>
          <w:color w:val="000000"/>
          <w:szCs w:val="24"/>
          <w:lang w:eastAsia="en-GB"/>
        </w:rPr>
      </w:pPr>
    </w:p>
    <w:p w14:paraId="52B34C36" w14:textId="607B8E98"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Responsible: Centres for Certifying Incapacity (KEPA)</w:t>
      </w:r>
      <w:r w:rsidR="00097591" w:rsidRPr="00D03A86">
        <w:rPr>
          <w:rFonts w:eastAsia="Times New Roman"/>
          <w:color w:val="000000"/>
          <w:szCs w:val="24"/>
          <w:lang w:eastAsia="en-GB"/>
        </w:rPr>
        <w:t>.</w:t>
      </w:r>
    </w:p>
    <w:p w14:paraId="2E76ACD3" w14:textId="77777777" w:rsidR="00097591" w:rsidRPr="00D03A86" w:rsidRDefault="00097591" w:rsidP="00940136">
      <w:pPr>
        <w:spacing w:after="0" w:line="240" w:lineRule="auto"/>
        <w:jc w:val="both"/>
        <w:rPr>
          <w:rFonts w:eastAsia="Times New Roman"/>
          <w:color w:val="000000"/>
          <w:szCs w:val="24"/>
          <w:lang w:eastAsia="en-GB"/>
        </w:rPr>
      </w:pPr>
    </w:p>
    <w:p w14:paraId="437F8A76" w14:textId="680EEE2E" w:rsidR="00900BAF" w:rsidRPr="00D03A86" w:rsidRDefault="00900BAF" w:rsidP="00940136">
      <w:pPr>
        <w:spacing w:after="0" w:line="240" w:lineRule="auto"/>
        <w:jc w:val="both"/>
        <w:rPr>
          <w:rFonts w:eastAsia="Times New Roman"/>
          <w:szCs w:val="24"/>
          <w:lang w:eastAsia="en-GB"/>
        </w:rPr>
      </w:pPr>
      <w:r w:rsidRPr="00D03A86">
        <w:rPr>
          <w:rFonts w:eastAsia="Times New Roman"/>
          <w:color w:val="000000"/>
          <w:szCs w:val="24"/>
          <w:lang w:eastAsia="en-GB"/>
        </w:rPr>
        <w:t xml:space="preserve">How to apply: </w:t>
      </w:r>
      <w:r w:rsidR="00CF2B9E" w:rsidRPr="00D03A86">
        <w:rPr>
          <w:rStyle w:val="Hyperlink"/>
          <w:rFonts w:eastAsia="Times New Roman"/>
          <w:szCs w:val="24"/>
          <w:lang w:eastAsia="en-GB"/>
        </w:rPr>
        <w:t>https://www.efka.gov.gr/el</w:t>
      </w:r>
      <w:r w:rsidR="00CF2B9E" w:rsidRPr="00D03A86">
        <w:rPr>
          <w:rStyle w:val="Hyperlink"/>
          <w:rFonts w:eastAsia="Times New Roman"/>
          <w:color w:val="auto"/>
          <w:szCs w:val="24"/>
          <w:u w:val="none"/>
          <w:lang w:eastAsia="en-GB"/>
        </w:rPr>
        <w:t>.</w:t>
      </w:r>
    </w:p>
    <w:p w14:paraId="064DE23F" w14:textId="77777777" w:rsidR="00097591" w:rsidRPr="00D03A86" w:rsidRDefault="00097591" w:rsidP="00940136">
      <w:pPr>
        <w:spacing w:after="0" w:line="240" w:lineRule="auto"/>
        <w:jc w:val="both"/>
        <w:rPr>
          <w:rFonts w:eastAsia="Times New Roman"/>
          <w:b/>
          <w:bCs/>
          <w:color w:val="000000"/>
          <w:szCs w:val="24"/>
          <w:lang w:eastAsia="en-GB"/>
        </w:rPr>
      </w:pPr>
    </w:p>
    <w:p w14:paraId="0EEF985A" w14:textId="5760B2D5" w:rsidR="00900BAF" w:rsidRPr="00D03A86" w:rsidRDefault="00900BAF" w:rsidP="00940136">
      <w:pPr>
        <w:spacing w:after="0" w:line="240" w:lineRule="auto"/>
        <w:jc w:val="both"/>
        <w:rPr>
          <w:rFonts w:eastAsia="Times New Roman"/>
          <w:b/>
          <w:bCs/>
          <w:color w:val="000000"/>
          <w:szCs w:val="24"/>
          <w:lang w:eastAsia="en-GB"/>
        </w:rPr>
      </w:pPr>
      <w:r w:rsidRPr="00D03A86">
        <w:rPr>
          <w:rFonts w:eastAsia="Times New Roman"/>
          <w:b/>
          <w:bCs/>
          <w:color w:val="000000"/>
          <w:szCs w:val="24"/>
          <w:lang w:eastAsia="en-GB"/>
        </w:rPr>
        <w:t xml:space="preserve">Type of </w:t>
      </w:r>
      <w:r w:rsidR="005E77F1" w:rsidRPr="00D03A86">
        <w:rPr>
          <w:rFonts w:eastAsia="Times New Roman"/>
          <w:b/>
          <w:bCs/>
          <w:color w:val="000000"/>
          <w:szCs w:val="24"/>
          <w:lang w:eastAsia="en-GB"/>
        </w:rPr>
        <w:t>a</w:t>
      </w:r>
      <w:r w:rsidRPr="00D03A86">
        <w:rPr>
          <w:rFonts w:eastAsia="Times New Roman"/>
          <w:b/>
          <w:bCs/>
          <w:color w:val="000000"/>
          <w:szCs w:val="24"/>
          <w:lang w:eastAsia="en-GB"/>
        </w:rPr>
        <w:t xml:space="preserve">ssessment: </w:t>
      </w:r>
      <w:proofErr w:type="spellStart"/>
      <w:r w:rsidRPr="00D03A86">
        <w:rPr>
          <w:rFonts w:eastAsia="Times New Roman"/>
          <w:b/>
          <w:bCs/>
          <w:color w:val="000000"/>
          <w:szCs w:val="24"/>
          <w:lang w:eastAsia="en-GB"/>
        </w:rPr>
        <w:t>Barema</w:t>
      </w:r>
      <w:proofErr w:type="spellEnd"/>
      <w:r w:rsidRPr="00D03A86">
        <w:rPr>
          <w:rFonts w:eastAsia="Times New Roman"/>
          <w:b/>
          <w:bCs/>
          <w:color w:val="000000"/>
          <w:szCs w:val="24"/>
          <w:lang w:eastAsia="en-GB"/>
        </w:rPr>
        <w:t xml:space="preserve"> method (% disability or scale).</w:t>
      </w:r>
    </w:p>
    <w:p w14:paraId="23BF829E" w14:textId="77777777" w:rsidR="00900BAF" w:rsidRPr="00D03A86" w:rsidRDefault="00900BAF" w:rsidP="00940136">
      <w:pPr>
        <w:spacing w:after="0" w:line="240" w:lineRule="auto"/>
        <w:jc w:val="both"/>
        <w:rPr>
          <w:rFonts w:eastAsia="Times New Roman"/>
          <w:color w:val="000000"/>
          <w:szCs w:val="24"/>
          <w:lang w:eastAsia="en-GB"/>
        </w:rPr>
      </w:pPr>
    </w:p>
    <w:p w14:paraId="18B4731D" w14:textId="5BB37873"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Qualifying criteria: The same assessment procedure provides access to:</w:t>
      </w:r>
      <w:r w:rsidR="00A84BB4" w:rsidRPr="00D03A86">
        <w:rPr>
          <w:rFonts w:eastAsia="Times New Roman"/>
          <w:color w:val="000000"/>
          <w:szCs w:val="24"/>
          <w:lang w:eastAsia="en-GB"/>
        </w:rPr>
        <w:t xml:space="preserve"> </w:t>
      </w:r>
      <w:r w:rsidRPr="00D03A86">
        <w:rPr>
          <w:rFonts w:eastAsia="Times New Roman"/>
          <w:color w:val="000000"/>
          <w:szCs w:val="24"/>
          <w:lang w:eastAsia="en-GB"/>
        </w:rPr>
        <w:t>- disability pensions: attributed to people assessed with level of impairment 50% or over.</w:t>
      </w:r>
      <w:r w:rsidR="00A84BB4" w:rsidRPr="00D03A86">
        <w:rPr>
          <w:rFonts w:eastAsia="Times New Roman"/>
          <w:color w:val="000000"/>
          <w:szCs w:val="24"/>
          <w:lang w:eastAsia="en-GB"/>
        </w:rPr>
        <w:t xml:space="preserve"> </w:t>
      </w:r>
      <w:r w:rsidRPr="00D03A86">
        <w:rPr>
          <w:rFonts w:eastAsia="Times New Roman"/>
          <w:color w:val="000000"/>
          <w:szCs w:val="24"/>
          <w:lang w:eastAsia="en-GB"/>
        </w:rPr>
        <w:t>- disability benefits in cash or kind: Levels of eligibility vary according to type of benefit with most commonly held thresholds being 67% and 80% - other social provisions (e.g. access to university- 50%; tax exemptions- 67%)</w:t>
      </w:r>
      <w:r w:rsidR="00097591" w:rsidRPr="00D03A86">
        <w:rPr>
          <w:rFonts w:eastAsia="Times New Roman"/>
          <w:color w:val="000000"/>
          <w:szCs w:val="24"/>
          <w:lang w:eastAsia="en-GB"/>
        </w:rPr>
        <w:t>.</w:t>
      </w:r>
    </w:p>
    <w:p w14:paraId="25251046" w14:textId="77777777" w:rsidR="00097591" w:rsidRPr="00D03A86" w:rsidRDefault="00097591" w:rsidP="00940136">
      <w:pPr>
        <w:spacing w:after="0" w:line="240" w:lineRule="auto"/>
        <w:jc w:val="both"/>
        <w:rPr>
          <w:rFonts w:eastAsia="Times New Roman"/>
          <w:color w:val="000000"/>
          <w:szCs w:val="24"/>
          <w:lang w:eastAsia="en-GB"/>
        </w:rPr>
      </w:pPr>
    </w:p>
    <w:p w14:paraId="5DB0DEC6" w14:textId="1927C108"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Method: Combination of documentary evidence and personal interaction.</w:t>
      </w:r>
    </w:p>
    <w:p w14:paraId="319DFEF1" w14:textId="77777777" w:rsidR="00900BAF" w:rsidRPr="00D03A86" w:rsidRDefault="00900BAF" w:rsidP="00940136">
      <w:pPr>
        <w:spacing w:after="0" w:line="240" w:lineRule="auto"/>
        <w:jc w:val="both"/>
        <w:rPr>
          <w:rFonts w:eastAsia="Times New Roman"/>
          <w:color w:val="000000"/>
          <w:szCs w:val="24"/>
          <w:lang w:eastAsia="en-GB"/>
        </w:rPr>
      </w:pPr>
    </w:p>
    <w:p w14:paraId="655F3775" w14:textId="19EE0208"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Assessor: Medical doctor</w:t>
      </w:r>
      <w:r w:rsidR="00097591" w:rsidRPr="00D03A86">
        <w:rPr>
          <w:rFonts w:eastAsia="Times New Roman"/>
          <w:color w:val="000000"/>
          <w:szCs w:val="24"/>
          <w:lang w:eastAsia="en-GB"/>
        </w:rPr>
        <w:t>.</w:t>
      </w:r>
    </w:p>
    <w:p w14:paraId="1396BF65" w14:textId="77777777" w:rsidR="00097591" w:rsidRPr="00D03A86" w:rsidRDefault="00097591" w:rsidP="00940136">
      <w:pPr>
        <w:spacing w:after="0" w:line="240" w:lineRule="auto"/>
        <w:jc w:val="both"/>
        <w:rPr>
          <w:rFonts w:eastAsia="Times New Roman"/>
          <w:color w:val="000000"/>
          <w:szCs w:val="24"/>
          <w:lang w:eastAsia="en-GB"/>
        </w:rPr>
      </w:pPr>
    </w:p>
    <w:p w14:paraId="10DF6211" w14:textId="5AD0B403"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Supporting evidence: A medical note or letter from a doctor who treats the applicant.</w:t>
      </w:r>
    </w:p>
    <w:p w14:paraId="6CFD5D36" w14:textId="77777777" w:rsidR="00900BAF" w:rsidRPr="00D03A86" w:rsidRDefault="00900BAF" w:rsidP="00940136">
      <w:pPr>
        <w:spacing w:after="0" w:line="240" w:lineRule="auto"/>
        <w:jc w:val="both"/>
        <w:rPr>
          <w:rFonts w:eastAsia="Times New Roman"/>
          <w:color w:val="000000"/>
          <w:szCs w:val="24"/>
          <w:lang w:eastAsia="en-GB"/>
        </w:rPr>
      </w:pPr>
    </w:p>
    <w:p w14:paraId="64C1E27E" w14:textId="1042C7F3"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Decision maker: The Special Committee of the Centre for Certifying Incapacity</w:t>
      </w:r>
    </w:p>
    <w:p w14:paraId="7D1ADE13" w14:textId="70ABD8C9" w:rsidR="00900BAF" w:rsidRPr="00D03A86" w:rsidRDefault="00900BAF" w:rsidP="00940136">
      <w:pPr>
        <w:spacing w:after="0" w:line="240" w:lineRule="auto"/>
        <w:rPr>
          <w:rStyle w:val="Hyperlink"/>
          <w:rFonts w:eastAsia="Times New Roman"/>
          <w:color w:val="auto"/>
          <w:szCs w:val="24"/>
          <w:u w:val="none"/>
          <w:lang w:eastAsia="en-GB"/>
        </w:rPr>
      </w:pPr>
      <w:r w:rsidRPr="00D03A86">
        <w:rPr>
          <w:rFonts w:eastAsia="Times New Roman"/>
          <w:color w:val="000000"/>
          <w:szCs w:val="24"/>
          <w:lang w:eastAsia="en-GB"/>
        </w:rPr>
        <w:t xml:space="preserve">Further details of the assessment: </w:t>
      </w:r>
      <w:hyperlink r:id="rId8" w:history="1">
        <w:r w:rsidRPr="00D03A86">
          <w:rPr>
            <w:rStyle w:val="Hyperlink"/>
            <w:rFonts w:eastAsia="Times New Roman"/>
            <w:szCs w:val="24"/>
            <w:lang w:eastAsia="en-GB"/>
          </w:rPr>
          <w:t>https://www.ika.gr/gr/infopages/kepa/FEK_1506_B_4-5-2012.pdf</w:t>
        </w:r>
      </w:hyperlink>
      <w:r w:rsidR="00097591" w:rsidRPr="00D03A86">
        <w:rPr>
          <w:rStyle w:val="Hyperlink"/>
          <w:rFonts w:eastAsia="Times New Roman"/>
          <w:color w:val="auto"/>
          <w:szCs w:val="24"/>
          <w:u w:val="none"/>
          <w:lang w:eastAsia="en-GB"/>
        </w:rPr>
        <w:t>.</w:t>
      </w:r>
    </w:p>
    <w:p w14:paraId="0BA888C4" w14:textId="77777777" w:rsidR="00940136" w:rsidRPr="00D03A86" w:rsidRDefault="00940136" w:rsidP="00940136">
      <w:pPr>
        <w:spacing w:after="0" w:line="240" w:lineRule="auto"/>
        <w:rPr>
          <w:rFonts w:eastAsia="Times New Roman"/>
          <w:color w:val="000000"/>
          <w:szCs w:val="24"/>
          <w:lang w:eastAsia="en-GB"/>
        </w:rPr>
      </w:pPr>
    </w:p>
    <w:p w14:paraId="0AC68B19" w14:textId="33FEB19C"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Notification of outcome: A certificate (e.g. proof of disability status).</w:t>
      </w:r>
    </w:p>
    <w:p w14:paraId="6D425C8E" w14:textId="77777777" w:rsidR="00900BAF" w:rsidRPr="00D03A86" w:rsidRDefault="00900BAF" w:rsidP="00940136">
      <w:pPr>
        <w:spacing w:after="0" w:line="240" w:lineRule="auto"/>
        <w:jc w:val="both"/>
        <w:rPr>
          <w:rFonts w:eastAsia="Times New Roman"/>
          <w:color w:val="000000"/>
          <w:szCs w:val="24"/>
          <w:lang w:eastAsia="en-GB"/>
        </w:rPr>
      </w:pPr>
    </w:p>
    <w:p w14:paraId="7DD2EBDC" w14:textId="6F3C82DD" w:rsidR="00900BAF"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lastRenderedPageBreak/>
        <w:t>Appeal possible</w:t>
      </w:r>
      <w:r w:rsidR="005E77F1" w:rsidRPr="00D03A86">
        <w:rPr>
          <w:rFonts w:eastAsia="Times New Roman"/>
          <w:color w:val="000000"/>
          <w:szCs w:val="24"/>
          <w:lang w:eastAsia="en-GB"/>
        </w:rPr>
        <w:t>:</w:t>
      </w:r>
    </w:p>
    <w:p w14:paraId="5058FCF1" w14:textId="77A69C5E" w:rsidR="008C16E8" w:rsidRPr="00D03A86" w:rsidRDefault="00900BAF"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An appeal is possible within ten days of receipt of the outcome</w:t>
      </w:r>
      <w:r w:rsidR="00CF2B9E" w:rsidRPr="00D03A86">
        <w:rPr>
          <w:rFonts w:eastAsia="Times New Roman"/>
          <w:color w:val="000000"/>
          <w:szCs w:val="24"/>
          <w:lang w:eastAsia="en-GB"/>
        </w:rPr>
        <w:t xml:space="preserve"> </w:t>
      </w:r>
      <w:r w:rsidRPr="00D03A86">
        <w:rPr>
          <w:rFonts w:eastAsia="Times New Roman"/>
          <w:color w:val="000000"/>
          <w:szCs w:val="24"/>
          <w:lang w:eastAsia="en-GB"/>
        </w:rPr>
        <w:t>and is addressed to the Second level Health Committee of the Certifying Centre (KEPA)</w:t>
      </w:r>
      <w:r w:rsidR="00097591" w:rsidRPr="00D03A86">
        <w:rPr>
          <w:rFonts w:eastAsia="Times New Roman"/>
          <w:color w:val="000000"/>
          <w:szCs w:val="24"/>
          <w:lang w:eastAsia="en-GB"/>
        </w:rPr>
        <w:t>.</w:t>
      </w:r>
    </w:p>
    <w:p w14:paraId="3DE0B3FF" w14:textId="77777777" w:rsidR="00097591" w:rsidRPr="00D03A86" w:rsidRDefault="00097591" w:rsidP="00940136">
      <w:pPr>
        <w:spacing w:after="0" w:line="240" w:lineRule="auto"/>
        <w:jc w:val="both"/>
        <w:rPr>
          <w:b/>
          <w:szCs w:val="24"/>
        </w:rPr>
      </w:pPr>
    </w:p>
    <w:p w14:paraId="31D08B16" w14:textId="021D6CB9" w:rsidR="004422B8" w:rsidRPr="00D03A86" w:rsidRDefault="00E350E5" w:rsidP="00940136">
      <w:pPr>
        <w:spacing w:after="0" w:line="240" w:lineRule="auto"/>
        <w:jc w:val="both"/>
        <w:rPr>
          <w:b/>
          <w:szCs w:val="24"/>
        </w:rPr>
      </w:pPr>
      <w:r w:rsidRPr="00D03A86">
        <w:rPr>
          <w:b/>
          <w:szCs w:val="24"/>
        </w:rPr>
        <w:t>Example 2</w:t>
      </w:r>
      <w:r w:rsidR="00FB5C28" w:rsidRPr="00D03A86">
        <w:rPr>
          <w:b/>
          <w:szCs w:val="24"/>
        </w:rPr>
        <w:t>: Pilot Assessment for Welfare Disability Benefits in Cash</w:t>
      </w:r>
    </w:p>
    <w:p w14:paraId="57E59C0C" w14:textId="77777777" w:rsidR="00FB5C28" w:rsidRPr="00D03A86" w:rsidRDefault="00FB5C28" w:rsidP="00940136">
      <w:pPr>
        <w:spacing w:after="0" w:line="240" w:lineRule="auto"/>
        <w:jc w:val="both"/>
        <w:rPr>
          <w:rFonts w:eastAsia="Times New Roman"/>
          <w:color w:val="000000"/>
          <w:szCs w:val="24"/>
          <w:lang w:eastAsia="en-GB"/>
        </w:rPr>
      </w:pPr>
    </w:p>
    <w:p w14:paraId="25F1031B" w14:textId="65CBD635"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Policy function: Assessment for multiple purposes (access to various disability benefits).</w:t>
      </w:r>
    </w:p>
    <w:p w14:paraId="2A10D7C9" w14:textId="77777777" w:rsidR="00FB5C28" w:rsidRPr="00D03A86" w:rsidRDefault="00FB5C28" w:rsidP="00940136">
      <w:pPr>
        <w:spacing w:after="0" w:line="240" w:lineRule="auto"/>
        <w:ind w:firstLineChars="100" w:firstLine="240"/>
        <w:jc w:val="both"/>
        <w:rPr>
          <w:rFonts w:eastAsia="Times New Roman"/>
          <w:color w:val="000000"/>
          <w:szCs w:val="24"/>
          <w:lang w:eastAsia="en-GB"/>
        </w:rPr>
      </w:pPr>
    </w:p>
    <w:p w14:paraId="3637F701" w14:textId="18DBBDC6"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Benefit: Benefits in cash</w:t>
      </w:r>
      <w:r w:rsidR="00097591" w:rsidRPr="00D03A86">
        <w:rPr>
          <w:rFonts w:eastAsia="Times New Roman"/>
          <w:color w:val="000000"/>
          <w:szCs w:val="24"/>
          <w:lang w:eastAsia="en-GB"/>
        </w:rPr>
        <w:t>.</w:t>
      </w:r>
      <w:r w:rsidRPr="00D03A86">
        <w:rPr>
          <w:rFonts w:eastAsia="Times New Roman"/>
          <w:color w:val="000000"/>
          <w:szCs w:val="24"/>
          <w:lang w:eastAsia="en-GB"/>
        </w:rPr>
        <w:t xml:space="preserve"> </w:t>
      </w:r>
    </w:p>
    <w:p w14:paraId="054F5398" w14:textId="77777777" w:rsidR="00097591" w:rsidRPr="00D03A86" w:rsidRDefault="00097591" w:rsidP="00940136">
      <w:pPr>
        <w:spacing w:after="0" w:line="240" w:lineRule="auto"/>
        <w:jc w:val="both"/>
        <w:rPr>
          <w:rFonts w:eastAsia="Times New Roman"/>
          <w:color w:val="000000"/>
          <w:szCs w:val="24"/>
          <w:lang w:eastAsia="en-GB"/>
        </w:rPr>
      </w:pPr>
    </w:p>
    <w:p w14:paraId="1C0BB715" w14:textId="4F46B207"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Responsible: Organisation of Welfare Benefits and Social Solidarity, Ministry of Labour, Social Security and Social Solidarity</w:t>
      </w:r>
      <w:r w:rsidR="00097591" w:rsidRPr="00D03A86">
        <w:rPr>
          <w:rFonts w:eastAsia="Times New Roman"/>
          <w:color w:val="000000"/>
          <w:szCs w:val="24"/>
          <w:lang w:eastAsia="en-GB"/>
        </w:rPr>
        <w:t>.</w:t>
      </w:r>
    </w:p>
    <w:p w14:paraId="3F6E17CC" w14:textId="77777777" w:rsidR="00097591" w:rsidRPr="00D03A86" w:rsidRDefault="00097591" w:rsidP="00940136">
      <w:pPr>
        <w:spacing w:after="0" w:line="240" w:lineRule="auto"/>
        <w:jc w:val="both"/>
        <w:rPr>
          <w:rFonts w:eastAsia="Times New Roman"/>
          <w:color w:val="000000"/>
          <w:szCs w:val="24"/>
          <w:lang w:eastAsia="en-GB"/>
        </w:rPr>
      </w:pPr>
    </w:p>
    <w:p w14:paraId="02EB2CB8" w14:textId="064585CA"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How to apply: </w:t>
      </w:r>
      <w:hyperlink r:id="rId9" w:history="1">
        <w:r w:rsidR="00097591" w:rsidRPr="00D03A86">
          <w:rPr>
            <w:rStyle w:val="Hyperlink"/>
            <w:rFonts w:eastAsia="Times New Roman"/>
            <w:szCs w:val="24"/>
            <w:lang w:eastAsia="en-GB"/>
          </w:rPr>
          <w:t>https://opeka.gr/atoma-me-anapiria/plirofories/</w:t>
        </w:r>
      </w:hyperlink>
      <w:r w:rsidR="00097591" w:rsidRPr="00D03A86">
        <w:rPr>
          <w:rFonts w:eastAsia="Times New Roman"/>
          <w:color w:val="000000"/>
          <w:szCs w:val="24"/>
          <w:lang w:eastAsia="en-GB"/>
        </w:rPr>
        <w:t>.</w:t>
      </w:r>
    </w:p>
    <w:p w14:paraId="55C4EA11" w14:textId="77777777" w:rsidR="00097591" w:rsidRPr="00D03A86" w:rsidRDefault="00097591" w:rsidP="00940136">
      <w:pPr>
        <w:spacing w:after="0" w:line="240" w:lineRule="auto"/>
        <w:jc w:val="both"/>
        <w:rPr>
          <w:rFonts w:eastAsia="Times New Roman"/>
          <w:b/>
          <w:bCs/>
          <w:color w:val="000000"/>
          <w:szCs w:val="24"/>
          <w:lang w:eastAsia="en-GB"/>
        </w:rPr>
      </w:pPr>
    </w:p>
    <w:p w14:paraId="322BCADC" w14:textId="50C461EC" w:rsidR="00FB5C28" w:rsidRPr="00D03A86" w:rsidRDefault="00FB5C28" w:rsidP="00940136">
      <w:pPr>
        <w:spacing w:after="0" w:line="240" w:lineRule="auto"/>
        <w:jc w:val="both"/>
        <w:rPr>
          <w:szCs w:val="24"/>
        </w:rPr>
      </w:pPr>
      <w:r w:rsidRPr="00D03A86">
        <w:rPr>
          <w:rFonts w:eastAsia="Times New Roman"/>
          <w:b/>
          <w:bCs/>
          <w:color w:val="000000"/>
          <w:szCs w:val="24"/>
          <w:lang w:eastAsia="en-GB"/>
        </w:rPr>
        <w:t xml:space="preserve">Type of </w:t>
      </w:r>
      <w:r w:rsidR="00CF2B9E" w:rsidRPr="00D03A86">
        <w:rPr>
          <w:rFonts w:eastAsia="Times New Roman"/>
          <w:b/>
          <w:bCs/>
          <w:color w:val="000000"/>
          <w:szCs w:val="24"/>
          <w:lang w:eastAsia="en-GB"/>
        </w:rPr>
        <w:t>a</w:t>
      </w:r>
      <w:r w:rsidRPr="00D03A86">
        <w:rPr>
          <w:rFonts w:eastAsia="Times New Roman"/>
          <w:b/>
          <w:bCs/>
          <w:color w:val="000000"/>
          <w:szCs w:val="24"/>
          <w:lang w:eastAsia="en-GB"/>
        </w:rPr>
        <w:t xml:space="preserve">ssessment: </w:t>
      </w:r>
      <w:r w:rsidRPr="00D03A86">
        <w:rPr>
          <w:b/>
          <w:szCs w:val="24"/>
        </w:rPr>
        <w:t>Functional capacity (test of ability to carry out specified tasks or activity</w:t>
      </w:r>
      <w:r w:rsidRPr="00D03A86">
        <w:rPr>
          <w:szCs w:val="24"/>
        </w:rPr>
        <w:t>).</w:t>
      </w:r>
    </w:p>
    <w:p w14:paraId="66F5FF06" w14:textId="77777777" w:rsidR="00097591" w:rsidRPr="00D03A86" w:rsidRDefault="00097591" w:rsidP="00940136">
      <w:pPr>
        <w:spacing w:after="0" w:line="240" w:lineRule="auto"/>
        <w:jc w:val="both"/>
        <w:rPr>
          <w:szCs w:val="24"/>
        </w:rPr>
      </w:pPr>
    </w:p>
    <w:p w14:paraId="55122B4B" w14:textId="56855562"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Qualifying criteria: </w:t>
      </w:r>
      <w:r w:rsidRPr="00D03A86">
        <w:rPr>
          <w:szCs w:val="24"/>
        </w:rPr>
        <w:t xml:space="preserve">assessment of functional capacity in performing daily activities of a person with a disability (WHO DAS 2.0 questionnaire) works in a complementary way to the main assessment procedure described in Example 1. Eligibility for benefits is still expressed as % at the </w:t>
      </w:r>
      <w:proofErr w:type="spellStart"/>
      <w:r w:rsidRPr="00D03A86">
        <w:rPr>
          <w:szCs w:val="24"/>
        </w:rPr>
        <w:t>Barema</w:t>
      </w:r>
      <w:proofErr w:type="spellEnd"/>
      <w:r w:rsidRPr="00D03A86">
        <w:rPr>
          <w:szCs w:val="24"/>
        </w:rPr>
        <w:t xml:space="preserve"> Scale, depending on the benefit, the threshold is normally </w:t>
      </w:r>
      <w:r w:rsidR="00147B0A" w:rsidRPr="00D03A86">
        <w:rPr>
          <w:szCs w:val="24"/>
        </w:rPr>
        <w:t xml:space="preserve">set </w:t>
      </w:r>
      <w:r w:rsidRPr="00D03A86">
        <w:rPr>
          <w:szCs w:val="24"/>
        </w:rPr>
        <w:t>at 67% or 80%.</w:t>
      </w:r>
    </w:p>
    <w:p w14:paraId="3513C020" w14:textId="77777777" w:rsidR="00FB5C28" w:rsidRPr="00D03A86" w:rsidRDefault="00FB5C28" w:rsidP="00940136">
      <w:pPr>
        <w:spacing w:after="0" w:line="240" w:lineRule="auto"/>
        <w:jc w:val="both"/>
        <w:rPr>
          <w:rFonts w:eastAsia="Times New Roman"/>
          <w:color w:val="000000"/>
          <w:szCs w:val="24"/>
          <w:lang w:eastAsia="en-GB"/>
        </w:rPr>
      </w:pPr>
    </w:p>
    <w:p w14:paraId="51BE6A55" w14:textId="77777777"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Method: Face to Face Meeting.</w:t>
      </w:r>
    </w:p>
    <w:p w14:paraId="11022F80" w14:textId="77777777" w:rsidR="00FB5C28" w:rsidRPr="00D03A86" w:rsidRDefault="00FB5C28" w:rsidP="00940136">
      <w:pPr>
        <w:spacing w:after="0" w:line="240" w:lineRule="auto"/>
        <w:jc w:val="both"/>
        <w:rPr>
          <w:rFonts w:eastAsia="Times New Roman"/>
          <w:color w:val="000000"/>
          <w:szCs w:val="24"/>
          <w:lang w:eastAsia="en-GB"/>
        </w:rPr>
      </w:pPr>
    </w:p>
    <w:p w14:paraId="1BE4F534" w14:textId="7E5470C7"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Assessor: Medical doctor/ Rehabilitation Therapist</w:t>
      </w:r>
      <w:r w:rsidR="00097591" w:rsidRPr="00D03A86">
        <w:rPr>
          <w:rFonts w:eastAsia="Times New Roman"/>
          <w:color w:val="000000"/>
          <w:szCs w:val="24"/>
          <w:lang w:eastAsia="en-GB"/>
        </w:rPr>
        <w:t>.</w:t>
      </w:r>
    </w:p>
    <w:p w14:paraId="6C0F914B" w14:textId="77777777" w:rsidR="00097591" w:rsidRPr="00D03A86" w:rsidRDefault="00097591" w:rsidP="00940136">
      <w:pPr>
        <w:spacing w:after="0" w:line="240" w:lineRule="auto"/>
        <w:jc w:val="both"/>
        <w:rPr>
          <w:rFonts w:eastAsia="Times New Roman"/>
          <w:color w:val="000000"/>
          <w:szCs w:val="24"/>
          <w:lang w:eastAsia="en-GB"/>
        </w:rPr>
      </w:pPr>
    </w:p>
    <w:p w14:paraId="38CEB4D6" w14:textId="2C45EB46"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Supporting evidence: Self-assessment</w:t>
      </w:r>
      <w:r w:rsidR="00E350E5" w:rsidRPr="00D03A86">
        <w:rPr>
          <w:rFonts w:eastAsia="Times New Roman"/>
          <w:color w:val="000000"/>
          <w:szCs w:val="24"/>
          <w:lang w:eastAsia="en-GB"/>
        </w:rPr>
        <w:t>, combination of documentary evidence and personal interaction</w:t>
      </w:r>
      <w:r w:rsidR="00097591" w:rsidRPr="00D03A86">
        <w:rPr>
          <w:rFonts w:eastAsia="Times New Roman"/>
          <w:color w:val="000000"/>
          <w:szCs w:val="24"/>
          <w:lang w:eastAsia="en-GB"/>
        </w:rPr>
        <w:t>.</w:t>
      </w:r>
    </w:p>
    <w:p w14:paraId="1EA9D4B5" w14:textId="77777777" w:rsidR="00097591" w:rsidRPr="00D03A86" w:rsidRDefault="00097591" w:rsidP="00940136">
      <w:pPr>
        <w:spacing w:after="0" w:line="240" w:lineRule="auto"/>
        <w:jc w:val="both"/>
        <w:rPr>
          <w:rFonts w:eastAsia="Times New Roman"/>
          <w:color w:val="000000"/>
          <w:szCs w:val="24"/>
          <w:lang w:eastAsia="en-GB"/>
        </w:rPr>
      </w:pPr>
    </w:p>
    <w:p w14:paraId="24F36AE9" w14:textId="7451EDDB"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Decision maker: The Special Committee of the Centre for Certifying Incapacity (KEPA Health Committee)</w:t>
      </w:r>
      <w:r w:rsidR="00097591" w:rsidRPr="00D03A86">
        <w:rPr>
          <w:rFonts w:eastAsia="Times New Roman"/>
          <w:color w:val="000000"/>
          <w:szCs w:val="24"/>
          <w:lang w:eastAsia="en-GB"/>
        </w:rPr>
        <w:t>.</w:t>
      </w:r>
    </w:p>
    <w:p w14:paraId="6913042D" w14:textId="77777777" w:rsidR="00097591" w:rsidRPr="00D03A86" w:rsidRDefault="00097591" w:rsidP="00940136">
      <w:pPr>
        <w:spacing w:after="0" w:line="240" w:lineRule="auto"/>
        <w:jc w:val="both"/>
        <w:rPr>
          <w:rFonts w:eastAsia="Times New Roman"/>
          <w:color w:val="000000"/>
          <w:szCs w:val="24"/>
          <w:lang w:eastAsia="en-GB"/>
        </w:rPr>
      </w:pPr>
    </w:p>
    <w:p w14:paraId="100D4678" w14:textId="54EC785F"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Further details of the assessment: </w:t>
      </w:r>
      <w:hyperlink r:id="rId10" w:history="1">
        <w:r w:rsidR="002025E5" w:rsidRPr="00D03A86">
          <w:rPr>
            <w:rStyle w:val="Hyperlink"/>
            <w:rFonts w:eastAsia="Times New Roman"/>
            <w:szCs w:val="24"/>
            <w:lang w:eastAsia="en-GB"/>
          </w:rPr>
          <w:t>https://opeka.gr/atoma-me-anapiria/nomothetiko-plaisio/</w:t>
        </w:r>
      </w:hyperlink>
      <w:r w:rsidR="00097591" w:rsidRPr="00D03A86">
        <w:rPr>
          <w:rStyle w:val="Hyperlink"/>
          <w:rFonts w:eastAsia="Times New Roman"/>
          <w:szCs w:val="24"/>
          <w:u w:val="none"/>
          <w:lang w:eastAsia="en-GB"/>
        </w:rPr>
        <w:t>.</w:t>
      </w:r>
      <w:r w:rsidR="002025E5" w:rsidRPr="00D03A86">
        <w:rPr>
          <w:rFonts w:eastAsia="Times New Roman"/>
          <w:color w:val="000000"/>
          <w:szCs w:val="24"/>
          <w:lang w:eastAsia="en-GB"/>
        </w:rPr>
        <w:t xml:space="preserve"> </w:t>
      </w:r>
    </w:p>
    <w:p w14:paraId="0ED2ABA8" w14:textId="77777777" w:rsidR="00097591" w:rsidRPr="00D03A86" w:rsidRDefault="00097591" w:rsidP="00940136">
      <w:pPr>
        <w:spacing w:after="0" w:line="240" w:lineRule="auto"/>
        <w:jc w:val="both"/>
        <w:rPr>
          <w:rFonts w:eastAsia="Times New Roman"/>
          <w:color w:val="000000"/>
          <w:szCs w:val="24"/>
          <w:lang w:eastAsia="en-GB"/>
        </w:rPr>
      </w:pPr>
    </w:p>
    <w:p w14:paraId="68551773" w14:textId="77777777"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Notification of outcome: a letter explaining the outcome.</w:t>
      </w:r>
    </w:p>
    <w:p w14:paraId="237176EA" w14:textId="77777777" w:rsidR="00FB5C28" w:rsidRPr="00D03A86" w:rsidRDefault="00FB5C28" w:rsidP="00940136">
      <w:pPr>
        <w:spacing w:after="0" w:line="240" w:lineRule="auto"/>
        <w:jc w:val="both"/>
        <w:rPr>
          <w:rFonts w:eastAsia="Times New Roman"/>
          <w:color w:val="000000"/>
          <w:szCs w:val="24"/>
          <w:lang w:eastAsia="en-GB"/>
        </w:rPr>
      </w:pPr>
    </w:p>
    <w:p w14:paraId="52EBA435" w14:textId="43100906" w:rsidR="00FB5C28" w:rsidRPr="00D03A86" w:rsidRDefault="00FB5C28"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Appeal possible</w:t>
      </w:r>
      <w:r w:rsidR="00097591" w:rsidRPr="00D03A86">
        <w:rPr>
          <w:rFonts w:eastAsia="Times New Roman"/>
          <w:color w:val="000000"/>
          <w:szCs w:val="24"/>
          <w:lang w:eastAsia="en-GB"/>
        </w:rPr>
        <w:t>.</w:t>
      </w:r>
    </w:p>
    <w:p w14:paraId="781C92E3" w14:textId="77777777" w:rsidR="00097591" w:rsidRPr="00D03A86" w:rsidRDefault="00097591" w:rsidP="00940136">
      <w:pPr>
        <w:spacing w:after="0" w:line="240" w:lineRule="auto"/>
        <w:jc w:val="both"/>
        <w:rPr>
          <w:rFonts w:eastAsia="Times New Roman"/>
          <w:color w:val="000000"/>
          <w:szCs w:val="24"/>
          <w:lang w:eastAsia="en-GB"/>
        </w:rPr>
      </w:pPr>
    </w:p>
    <w:p w14:paraId="1EEB36B4" w14:textId="1021B867" w:rsidR="00B61FC7" w:rsidRPr="00D03A86" w:rsidRDefault="00097591"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A</w:t>
      </w:r>
      <w:r w:rsidR="00FB5C28" w:rsidRPr="00D03A86">
        <w:rPr>
          <w:rFonts w:eastAsia="Times New Roman"/>
          <w:color w:val="000000"/>
          <w:szCs w:val="24"/>
          <w:lang w:eastAsia="en-GB"/>
        </w:rPr>
        <w:t>n appeal is possible within ten days of receipt of the outcome and is addressed to the Secondary KEPA Health Committee</w:t>
      </w:r>
      <w:r w:rsidRPr="00D03A86">
        <w:rPr>
          <w:rFonts w:eastAsia="Times New Roman"/>
          <w:color w:val="000000"/>
          <w:szCs w:val="24"/>
          <w:lang w:eastAsia="en-GB"/>
        </w:rPr>
        <w:t>.</w:t>
      </w:r>
    </w:p>
    <w:p w14:paraId="424F4879" w14:textId="77777777" w:rsidR="00940136" w:rsidRPr="00D03A86" w:rsidRDefault="00940136" w:rsidP="00940136">
      <w:pPr>
        <w:spacing w:after="0" w:line="240" w:lineRule="auto"/>
        <w:jc w:val="both"/>
        <w:rPr>
          <w:rFonts w:eastAsia="Times New Roman"/>
          <w:color w:val="000000"/>
          <w:szCs w:val="24"/>
          <w:lang w:eastAsia="en-GB"/>
        </w:rPr>
      </w:pPr>
    </w:p>
    <w:p w14:paraId="6FE2E56E" w14:textId="77777777" w:rsidR="001E1FEC" w:rsidRPr="00D03A86" w:rsidRDefault="00B61FC7" w:rsidP="00940136">
      <w:pPr>
        <w:spacing w:after="0" w:line="240" w:lineRule="auto"/>
        <w:jc w:val="both"/>
        <w:rPr>
          <w:rFonts w:eastAsia="Times New Roman"/>
          <w:b/>
          <w:color w:val="000000"/>
          <w:szCs w:val="24"/>
          <w:lang w:eastAsia="en-GB"/>
        </w:rPr>
      </w:pPr>
      <w:r w:rsidRPr="00D03A86">
        <w:rPr>
          <w:rFonts w:eastAsia="Times New Roman"/>
          <w:b/>
          <w:color w:val="000000"/>
          <w:szCs w:val="24"/>
          <w:lang w:eastAsia="en-GB"/>
        </w:rPr>
        <w:t>Example 3</w:t>
      </w:r>
    </w:p>
    <w:p w14:paraId="63329EB0" w14:textId="77777777" w:rsidR="001E1FEC" w:rsidRPr="00D03A86" w:rsidRDefault="001E1FEC" w:rsidP="00940136">
      <w:pPr>
        <w:spacing w:after="0" w:line="240" w:lineRule="auto"/>
        <w:jc w:val="both"/>
        <w:rPr>
          <w:rFonts w:eastAsia="Times New Roman"/>
          <w:color w:val="000000"/>
          <w:szCs w:val="24"/>
          <w:lang w:eastAsia="en-GB"/>
        </w:rPr>
      </w:pPr>
    </w:p>
    <w:p w14:paraId="23E6886C" w14:textId="766FBDF4" w:rsidR="001E1FEC" w:rsidRPr="00D03A86" w:rsidRDefault="001E1FEC"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Policy function: </w:t>
      </w:r>
      <w:r w:rsidRPr="00D03A86">
        <w:rPr>
          <w:szCs w:val="24"/>
        </w:rPr>
        <w:t>Additional support at school (primary and secondary education)</w:t>
      </w:r>
      <w:r w:rsidR="00097591" w:rsidRPr="00D03A86">
        <w:rPr>
          <w:szCs w:val="24"/>
        </w:rPr>
        <w:t>.</w:t>
      </w:r>
      <w:r w:rsidRPr="00D03A86">
        <w:rPr>
          <w:szCs w:val="24"/>
        </w:rPr>
        <w:t xml:space="preserve"> </w:t>
      </w:r>
    </w:p>
    <w:p w14:paraId="5E0C60D0" w14:textId="77777777" w:rsidR="001E1FEC" w:rsidRPr="00D03A86" w:rsidRDefault="001E1FEC" w:rsidP="00940136">
      <w:pPr>
        <w:spacing w:after="0" w:line="240" w:lineRule="auto"/>
        <w:ind w:firstLineChars="100" w:firstLine="240"/>
        <w:jc w:val="both"/>
        <w:rPr>
          <w:rFonts w:eastAsia="Times New Roman"/>
          <w:color w:val="000000"/>
          <w:szCs w:val="24"/>
          <w:lang w:eastAsia="en-GB"/>
        </w:rPr>
      </w:pPr>
    </w:p>
    <w:p w14:paraId="1BEAF3A4" w14:textId="37D72FCE" w:rsidR="001E1FEC" w:rsidRPr="00D03A86" w:rsidRDefault="001E1FEC"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Benefit: </w:t>
      </w:r>
      <w:r w:rsidRPr="00D03A86">
        <w:rPr>
          <w:b/>
          <w:szCs w:val="24"/>
        </w:rPr>
        <w:t>Additional support at school</w:t>
      </w:r>
      <w:r w:rsidR="00097591" w:rsidRPr="00D03A86">
        <w:rPr>
          <w:b/>
          <w:szCs w:val="24"/>
        </w:rPr>
        <w:t>.</w:t>
      </w:r>
    </w:p>
    <w:p w14:paraId="2FBB4CF9" w14:textId="5551B68B" w:rsidR="001E1FEC" w:rsidRPr="00D03A86" w:rsidRDefault="001E1FEC"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lastRenderedPageBreak/>
        <w:t>Specificity: The disability assessment is designed for this specific purpose.</w:t>
      </w:r>
    </w:p>
    <w:p w14:paraId="3F84B523" w14:textId="77777777" w:rsidR="001E1FEC" w:rsidRPr="00D03A86" w:rsidRDefault="001E1FEC" w:rsidP="00940136">
      <w:pPr>
        <w:spacing w:after="0" w:line="240" w:lineRule="auto"/>
        <w:jc w:val="both"/>
        <w:rPr>
          <w:rFonts w:eastAsia="Times New Roman"/>
          <w:color w:val="000000"/>
          <w:szCs w:val="24"/>
          <w:lang w:eastAsia="en-GB"/>
        </w:rPr>
      </w:pPr>
    </w:p>
    <w:p w14:paraId="6125E0E5" w14:textId="54298244" w:rsidR="001E1FEC" w:rsidRPr="00D03A86" w:rsidRDefault="001E1FEC"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Responsible: </w:t>
      </w:r>
      <w:r w:rsidR="00A448E2" w:rsidRPr="00D03A86">
        <w:rPr>
          <w:rFonts w:eastAsia="Times New Roman"/>
          <w:color w:val="000000"/>
          <w:szCs w:val="24"/>
          <w:lang w:eastAsia="en-GB"/>
        </w:rPr>
        <w:t>Interdisciplinary</w:t>
      </w:r>
      <w:r w:rsidRPr="00D03A86">
        <w:rPr>
          <w:rFonts w:eastAsia="Times New Roman"/>
          <w:color w:val="000000"/>
          <w:szCs w:val="24"/>
          <w:lang w:eastAsia="en-GB"/>
        </w:rPr>
        <w:t xml:space="preserve"> Educational Assessment and Support Committee (EDEAY) established within mainstream school units, Centres for Educational and Counselling Support</w:t>
      </w:r>
      <w:r w:rsidR="00147B0A" w:rsidRPr="00D03A86">
        <w:rPr>
          <w:rFonts w:eastAsia="Times New Roman"/>
          <w:color w:val="000000"/>
          <w:szCs w:val="24"/>
          <w:lang w:eastAsia="en-GB"/>
        </w:rPr>
        <w:t>.</w:t>
      </w:r>
      <w:r w:rsidRPr="00D03A86">
        <w:rPr>
          <w:rStyle w:val="FootnoteReference"/>
          <w:rFonts w:eastAsia="Times New Roman"/>
          <w:color w:val="000000"/>
          <w:szCs w:val="24"/>
          <w:lang w:eastAsia="en-GB"/>
        </w:rPr>
        <w:footnoteReference w:id="3"/>
      </w:r>
    </w:p>
    <w:p w14:paraId="0531A196" w14:textId="77777777" w:rsidR="001E1FEC" w:rsidRPr="00D03A86" w:rsidRDefault="001E1FEC" w:rsidP="00940136">
      <w:pPr>
        <w:spacing w:after="0" w:line="240" w:lineRule="auto"/>
        <w:ind w:firstLineChars="100" w:firstLine="240"/>
        <w:jc w:val="both"/>
        <w:rPr>
          <w:rFonts w:eastAsia="Times New Roman"/>
          <w:color w:val="000000"/>
          <w:szCs w:val="24"/>
          <w:lang w:eastAsia="en-GB"/>
        </w:rPr>
      </w:pPr>
    </w:p>
    <w:p w14:paraId="260945AA" w14:textId="2EE75001" w:rsidR="004A11F6" w:rsidRPr="00D03A86" w:rsidRDefault="001E1FEC" w:rsidP="00940136">
      <w:pPr>
        <w:spacing w:after="0" w:line="240" w:lineRule="auto"/>
        <w:jc w:val="both"/>
        <w:rPr>
          <w:rFonts w:eastAsia="Times New Roman"/>
          <w:i/>
          <w:color w:val="000000"/>
          <w:szCs w:val="24"/>
          <w:lang w:eastAsia="en-GB"/>
        </w:rPr>
      </w:pPr>
      <w:r w:rsidRPr="00D03A86">
        <w:rPr>
          <w:rFonts w:eastAsia="Times New Roman"/>
          <w:color w:val="000000"/>
          <w:szCs w:val="24"/>
          <w:lang w:eastAsia="en-GB"/>
        </w:rPr>
        <w:t xml:space="preserve">How to apply: </w:t>
      </w:r>
      <w:r w:rsidR="004A11F6" w:rsidRPr="00D03A86">
        <w:rPr>
          <w:rFonts w:eastAsia="Times New Roman"/>
          <w:color w:val="000000"/>
          <w:szCs w:val="24"/>
          <w:lang w:eastAsia="en-GB"/>
        </w:rPr>
        <w:t xml:space="preserve">Guidance </w:t>
      </w:r>
      <w:r w:rsidR="00037B11" w:rsidRPr="00D03A86">
        <w:rPr>
          <w:rFonts w:eastAsia="Times New Roman"/>
          <w:color w:val="000000"/>
          <w:szCs w:val="24"/>
          <w:lang w:eastAsia="en-GB"/>
        </w:rPr>
        <w:t xml:space="preserve">is </w:t>
      </w:r>
      <w:r w:rsidR="004A11F6" w:rsidRPr="00D03A86">
        <w:rPr>
          <w:rFonts w:eastAsia="Times New Roman"/>
          <w:color w:val="000000"/>
          <w:szCs w:val="24"/>
          <w:lang w:eastAsia="en-GB"/>
        </w:rPr>
        <w:t>included in the (draft) legislation</w:t>
      </w:r>
      <w:r w:rsidR="0010306E" w:rsidRPr="00D03A86">
        <w:rPr>
          <w:rFonts w:eastAsia="Times New Roman"/>
          <w:color w:val="000000"/>
          <w:szCs w:val="24"/>
          <w:lang w:eastAsia="en-GB"/>
        </w:rPr>
        <w:t xml:space="preserve"> </w:t>
      </w:r>
      <w:r w:rsidR="0010306E" w:rsidRPr="00D03A86">
        <w:rPr>
          <w:i/>
          <w:szCs w:val="24"/>
        </w:rPr>
        <w:t>Reform of Support Structures in Pr</w:t>
      </w:r>
      <w:r w:rsidR="009A5C45" w:rsidRPr="00D03A86">
        <w:rPr>
          <w:i/>
          <w:szCs w:val="24"/>
        </w:rPr>
        <w:t>imary and Secondary Education</w:t>
      </w:r>
    </w:p>
    <w:p w14:paraId="09221F40" w14:textId="416C04CD" w:rsidR="001E1FEC" w:rsidRPr="00D03A86" w:rsidRDefault="00D35F94" w:rsidP="00940136">
      <w:pPr>
        <w:spacing w:after="0" w:line="240" w:lineRule="auto"/>
        <w:jc w:val="both"/>
        <w:rPr>
          <w:rFonts w:eastAsia="Times New Roman"/>
          <w:b/>
          <w:bCs/>
          <w:color w:val="000000"/>
          <w:szCs w:val="24"/>
          <w:lang w:eastAsia="en-GB"/>
        </w:rPr>
      </w:pPr>
      <w:hyperlink r:id="rId11" w:history="1">
        <w:r w:rsidR="001E1FEC" w:rsidRPr="00D03A86">
          <w:rPr>
            <w:rStyle w:val="Hyperlink"/>
            <w:szCs w:val="24"/>
          </w:rPr>
          <w:t>http://www.opengov.gr/ypepth/wp-content/uploads/downloads/2018/03/ypepth.pdf</w:t>
        </w:r>
      </w:hyperlink>
      <w:r w:rsidR="00097591" w:rsidRPr="00D03A86">
        <w:rPr>
          <w:rStyle w:val="Hyperlink"/>
          <w:color w:val="auto"/>
          <w:szCs w:val="24"/>
          <w:u w:val="none"/>
        </w:rPr>
        <w:t>.</w:t>
      </w:r>
      <w:r w:rsidR="001E1FEC" w:rsidRPr="00D03A86">
        <w:rPr>
          <w:szCs w:val="24"/>
        </w:rPr>
        <w:t xml:space="preserve"> </w:t>
      </w:r>
    </w:p>
    <w:p w14:paraId="0798DC8D" w14:textId="77777777" w:rsidR="00097591" w:rsidRPr="00D03A86" w:rsidRDefault="00097591" w:rsidP="00940136">
      <w:pPr>
        <w:spacing w:after="0" w:line="240" w:lineRule="auto"/>
        <w:jc w:val="both"/>
        <w:rPr>
          <w:rFonts w:eastAsia="Times New Roman"/>
          <w:b/>
          <w:bCs/>
          <w:color w:val="000000"/>
          <w:szCs w:val="24"/>
          <w:lang w:eastAsia="en-GB"/>
        </w:rPr>
      </w:pPr>
    </w:p>
    <w:p w14:paraId="7D157FC9" w14:textId="7920F0B9" w:rsidR="001E1FEC" w:rsidRPr="00D03A86" w:rsidRDefault="001E1FEC" w:rsidP="00940136">
      <w:pPr>
        <w:spacing w:after="0" w:line="240" w:lineRule="auto"/>
        <w:jc w:val="both"/>
        <w:rPr>
          <w:rFonts w:eastAsia="Times New Roman"/>
          <w:b/>
          <w:bCs/>
          <w:color w:val="000000"/>
          <w:szCs w:val="24"/>
          <w:lang w:eastAsia="en-GB"/>
        </w:rPr>
      </w:pPr>
      <w:r w:rsidRPr="00D03A86">
        <w:rPr>
          <w:rFonts w:eastAsia="Times New Roman"/>
          <w:b/>
          <w:bCs/>
          <w:color w:val="000000"/>
          <w:szCs w:val="24"/>
          <w:lang w:eastAsia="en-GB"/>
        </w:rPr>
        <w:t xml:space="preserve">Type of </w:t>
      </w:r>
      <w:r w:rsidR="00CF2B9E" w:rsidRPr="00D03A86">
        <w:rPr>
          <w:rFonts w:eastAsia="Times New Roman"/>
          <w:b/>
          <w:bCs/>
          <w:color w:val="000000"/>
          <w:szCs w:val="24"/>
          <w:lang w:eastAsia="en-GB"/>
        </w:rPr>
        <w:t>a</w:t>
      </w:r>
      <w:r w:rsidRPr="00D03A86">
        <w:rPr>
          <w:rFonts w:eastAsia="Times New Roman"/>
          <w:b/>
          <w:bCs/>
          <w:color w:val="000000"/>
          <w:szCs w:val="24"/>
          <w:lang w:eastAsia="en-GB"/>
        </w:rPr>
        <w:t>ssessment: Educational Needs Assessment and Support</w:t>
      </w:r>
    </w:p>
    <w:p w14:paraId="3CD4424C" w14:textId="77777777" w:rsidR="001E1FEC" w:rsidRPr="00D03A86" w:rsidRDefault="001E1FEC" w:rsidP="00940136">
      <w:pPr>
        <w:spacing w:after="0" w:line="240" w:lineRule="auto"/>
        <w:jc w:val="both"/>
        <w:rPr>
          <w:rFonts w:eastAsia="Times New Roman"/>
          <w:color w:val="000000"/>
          <w:szCs w:val="24"/>
          <w:lang w:eastAsia="en-GB"/>
        </w:rPr>
      </w:pPr>
    </w:p>
    <w:p w14:paraId="36003640" w14:textId="09F7409E" w:rsidR="001E1FEC" w:rsidRPr="00D03A86" w:rsidRDefault="001E1FEC"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Qualifying criteria: Disabled pupils with special educational needs, who are defined as “showing significant learning difficulties due to sensory, intellectual, cognitive, developmental, and mental disorders which, according to the interdisciplinary assessment, affect the process of school adaptation and learning” (Law 3699/2008, Art. 3.1). </w:t>
      </w:r>
      <w:r w:rsidR="00010688" w:rsidRPr="00D03A86">
        <w:rPr>
          <w:rFonts w:eastAsia="Times New Roman"/>
          <w:color w:val="000000"/>
          <w:szCs w:val="24"/>
          <w:lang w:eastAsia="en-GB"/>
        </w:rPr>
        <w:t>The definition of “pupils with special educational needs” also includes</w:t>
      </w:r>
      <w:r w:rsidRPr="00D03A86">
        <w:rPr>
          <w:rFonts w:eastAsia="Times New Roman"/>
          <w:color w:val="000000"/>
          <w:szCs w:val="24"/>
          <w:lang w:eastAsia="en-GB"/>
        </w:rPr>
        <w:t xml:space="preserve"> pupils with “complex cognitive, emotional and social difficulties, deviant behaviour due to abuse, neglect or domestic violence” (Art. 3.2) as well as pupils with “one or more intellectual competences developed to a degree which exceeds the expected for their age group” (Art.3.3).</w:t>
      </w:r>
    </w:p>
    <w:p w14:paraId="412E0A85" w14:textId="77777777" w:rsidR="001E1FEC" w:rsidRPr="00D03A86" w:rsidRDefault="001E1FEC" w:rsidP="00940136">
      <w:pPr>
        <w:spacing w:after="0" w:line="240" w:lineRule="auto"/>
        <w:jc w:val="both"/>
        <w:rPr>
          <w:rFonts w:eastAsia="Times New Roman"/>
          <w:color w:val="000000"/>
          <w:szCs w:val="24"/>
          <w:lang w:eastAsia="en-GB"/>
        </w:rPr>
      </w:pPr>
    </w:p>
    <w:p w14:paraId="1E565EEB" w14:textId="77777777" w:rsidR="001E1FEC" w:rsidRPr="00D03A86" w:rsidRDefault="001E1FEC" w:rsidP="00940136">
      <w:pPr>
        <w:spacing w:after="0" w:line="240" w:lineRule="auto"/>
        <w:jc w:val="both"/>
        <w:rPr>
          <w:rFonts w:eastAsia="Times New Roman"/>
          <w:szCs w:val="24"/>
          <w:lang w:eastAsia="en-GB"/>
        </w:rPr>
      </w:pPr>
      <w:r w:rsidRPr="00D03A86">
        <w:rPr>
          <w:rFonts w:eastAsia="Times New Roman"/>
          <w:szCs w:val="24"/>
          <w:lang w:eastAsia="en-GB"/>
        </w:rPr>
        <w:t>Method: Combination of documentary evidence and personal interaction.</w:t>
      </w:r>
    </w:p>
    <w:p w14:paraId="72842599" w14:textId="77777777" w:rsidR="001E1FEC" w:rsidRPr="00D03A86" w:rsidRDefault="001E1FEC" w:rsidP="00940136">
      <w:pPr>
        <w:spacing w:after="0" w:line="240" w:lineRule="auto"/>
        <w:jc w:val="both"/>
        <w:rPr>
          <w:rFonts w:eastAsia="Times New Roman"/>
          <w:szCs w:val="24"/>
          <w:lang w:eastAsia="en-GB"/>
        </w:rPr>
      </w:pPr>
    </w:p>
    <w:p w14:paraId="5F8B6ABB" w14:textId="0718F854" w:rsidR="00A82F7C" w:rsidRPr="00D03A86" w:rsidRDefault="001E1FEC" w:rsidP="00940136">
      <w:pPr>
        <w:autoSpaceDE w:val="0"/>
        <w:autoSpaceDN w:val="0"/>
        <w:adjustRightInd w:val="0"/>
        <w:spacing w:after="0" w:line="240" w:lineRule="auto"/>
        <w:jc w:val="both"/>
        <w:rPr>
          <w:szCs w:val="24"/>
        </w:rPr>
      </w:pPr>
      <w:r w:rsidRPr="00D03A86">
        <w:rPr>
          <w:rFonts w:eastAsia="Times New Roman"/>
          <w:szCs w:val="24"/>
          <w:lang w:eastAsia="en-GB"/>
        </w:rPr>
        <w:t xml:space="preserve">Assessor: </w:t>
      </w:r>
      <w:r w:rsidR="006B301C" w:rsidRPr="00D03A86">
        <w:rPr>
          <w:rFonts w:eastAsia="Times New Roman"/>
          <w:szCs w:val="24"/>
          <w:lang w:eastAsia="en-GB"/>
        </w:rPr>
        <w:t>Interdisciplinary Team consisting of:</w:t>
      </w:r>
    </w:p>
    <w:p w14:paraId="028A7628" w14:textId="7DC79E5F" w:rsidR="00A82F7C" w:rsidRPr="00D03A86" w:rsidRDefault="00A82F7C" w:rsidP="00940136">
      <w:pPr>
        <w:autoSpaceDE w:val="0"/>
        <w:autoSpaceDN w:val="0"/>
        <w:adjustRightInd w:val="0"/>
        <w:spacing w:after="0" w:line="240" w:lineRule="auto"/>
        <w:jc w:val="both"/>
        <w:rPr>
          <w:szCs w:val="24"/>
        </w:rPr>
      </w:pPr>
      <w:r w:rsidRPr="00D03A86">
        <w:rPr>
          <w:szCs w:val="24"/>
        </w:rPr>
        <w:t>Psychologist</w:t>
      </w:r>
    </w:p>
    <w:p w14:paraId="14E3976E" w14:textId="6119E971" w:rsidR="00A82F7C" w:rsidRPr="00D03A86" w:rsidRDefault="00A82F7C" w:rsidP="00940136">
      <w:pPr>
        <w:autoSpaceDE w:val="0"/>
        <w:autoSpaceDN w:val="0"/>
        <w:adjustRightInd w:val="0"/>
        <w:spacing w:after="0" w:line="240" w:lineRule="auto"/>
        <w:jc w:val="both"/>
        <w:rPr>
          <w:szCs w:val="24"/>
        </w:rPr>
      </w:pPr>
      <w:r w:rsidRPr="00D03A86">
        <w:rPr>
          <w:szCs w:val="24"/>
        </w:rPr>
        <w:t>Social worker</w:t>
      </w:r>
    </w:p>
    <w:p w14:paraId="3A1D77DB" w14:textId="05777BD5" w:rsidR="00A82F7C" w:rsidRPr="00D03A86" w:rsidRDefault="00A82F7C" w:rsidP="00940136">
      <w:pPr>
        <w:autoSpaceDE w:val="0"/>
        <w:autoSpaceDN w:val="0"/>
        <w:adjustRightInd w:val="0"/>
        <w:spacing w:after="0" w:line="240" w:lineRule="auto"/>
        <w:jc w:val="both"/>
        <w:rPr>
          <w:szCs w:val="24"/>
        </w:rPr>
      </w:pPr>
      <w:r w:rsidRPr="00D03A86">
        <w:rPr>
          <w:szCs w:val="24"/>
        </w:rPr>
        <w:t>Other rehabilitation specialist (Special Education Staff)</w:t>
      </w:r>
    </w:p>
    <w:p w14:paraId="52A362AE" w14:textId="55A4DA89" w:rsidR="001E1FEC" w:rsidRPr="00D03A86" w:rsidRDefault="00A82F7C" w:rsidP="00940136">
      <w:pPr>
        <w:spacing w:after="0" w:line="240" w:lineRule="auto"/>
        <w:jc w:val="both"/>
        <w:rPr>
          <w:rFonts w:eastAsia="Times New Roman"/>
          <w:szCs w:val="24"/>
          <w:lang w:eastAsia="en-GB"/>
        </w:rPr>
      </w:pPr>
      <w:r w:rsidRPr="00D03A86">
        <w:rPr>
          <w:szCs w:val="24"/>
        </w:rPr>
        <w:t>Bureaucrat / civil servant (Teacher/ School Headmaster)</w:t>
      </w:r>
    </w:p>
    <w:p w14:paraId="610D900A" w14:textId="77777777" w:rsidR="001E1FEC" w:rsidRPr="00D03A86" w:rsidRDefault="001E1FEC" w:rsidP="00940136">
      <w:pPr>
        <w:spacing w:after="0" w:line="240" w:lineRule="auto"/>
        <w:jc w:val="both"/>
        <w:rPr>
          <w:rFonts w:eastAsia="Times New Roman"/>
          <w:szCs w:val="24"/>
          <w:lang w:eastAsia="en-GB"/>
        </w:rPr>
      </w:pPr>
    </w:p>
    <w:p w14:paraId="1EC6B2DC" w14:textId="769C145C" w:rsidR="00AF0FAF" w:rsidRPr="00D03A86" w:rsidRDefault="00097591" w:rsidP="00940136">
      <w:pPr>
        <w:spacing w:after="0" w:line="240" w:lineRule="auto"/>
        <w:jc w:val="both"/>
        <w:rPr>
          <w:szCs w:val="24"/>
        </w:rPr>
      </w:pPr>
      <w:r w:rsidRPr="00D03A86">
        <w:rPr>
          <w:rFonts w:eastAsia="Times New Roman"/>
          <w:szCs w:val="24"/>
          <w:lang w:eastAsia="en-GB"/>
        </w:rPr>
        <w:t>Supporting evidence:</w:t>
      </w:r>
      <w:r w:rsidR="00A84BB4" w:rsidRPr="00D03A86">
        <w:rPr>
          <w:rFonts w:eastAsia="Times New Roman"/>
          <w:szCs w:val="24"/>
          <w:lang w:eastAsia="en-GB"/>
        </w:rPr>
        <w:t xml:space="preserve"> </w:t>
      </w:r>
      <w:r w:rsidR="00517809" w:rsidRPr="00D03A86">
        <w:rPr>
          <w:szCs w:val="24"/>
        </w:rPr>
        <w:t xml:space="preserve">Evidence from someone who knows the applicant’s situation (e.g. a relative, friend, neighbour or colleague). </w:t>
      </w:r>
    </w:p>
    <w:p w14:paraId="5CC5F56C" w14:textId="77777777" w:rsidR="00940136" w:rsidRPr="00D03A86" w:rsidRDefault="00940136" w:rsidP="00940136">
      <w:pPr>
        <w:spacing w:after="0" w:line="240" w:lineRule="auto"/>
        <w:jc w:val="both"/>
        <w:rPr>
          <w:rFonts w:eastAsia="Times New Roman"/>
          <w:szCs w:val="24"/>
          <w:lang w:eastAsia="en-GB"/>
        </w:rPr>
      </w:pPr>
    </w:p>
    <w:p w14:paraId="3ADCD1F6" w14:textId="00041A10" w:rsidR="001E1FEC" w:rsidRPr="00D03A86" w:rsidRDefault="00517809" w:rsidP="00940136">
      <w:pPr>
        <w:autoSpaceDE w:val="0"/>
        <w:autoSpaceDN w:val="0"/>
        <w:adjustRightInd w:val="0"/>
        <w:spacing w:after="0" w:line="240" w:lineRule="auto"/>
        <w:jc w:val="both"/>
        <w:rPr>
          <w:szCs w:val="24"/>
        </w:rPr>
      </w:pPr>
      <w:r w:rsidRPr="00D03A86">
        <w:rPr>
          <w:szCs w:val="24"/>
        </w:rPr>
        <w:t xml:space="preserve">Evidence </w:t>
      </w:r>
      <w:r w:rsidR="00AF0FAF" w:rsidRPr="00D03A86">
        <w:rPr>
          <w:szCs w:val="24"/>
        </w:rPr>
        <w:t xml:space="preserve">from a non-medical professional </w:t>
      </w:r>
      <w:r w:rsidRPr="00D03A86">
        <w:rPr>
          <w:szCs w:val="24"/>
        </w:rPr>
        <w:t>who knows the applicant</w:t>
      </w:r>
      <w:r w:rsidR="004A0639" w:rsidRPr="00D03A86">
        <w:rPr>
          <w:szCs w:val="24"/>
        </w:rPr>
        <w:t xml:space="preserve"> (Class Teacher)</w:t>
      </w:r>
      <w:r w:rsidRPr="00D03A86">
        <w:rPr>
          <w:szCs w:val="24"/>
        </w:rPr>
        <w:t>.</w:t>
      </w:r>
    </w:p>
    <w:p w14:paraId="7B0DB829" w14:textId="77777777" w:rsidR="00517809" w:rsidRPr="00D03A86" w:rsidRDefault="00517809" w:rsidP="00940136">
      <w:pPr>
        <w:spacing w:after="0" w:line="240" w:lineRule="auto"/>
        <w:jc w:val="both"/>
        <w:rPr>
          <w:rFonts w:eastAsia="Times New Roman"/>
          <w:color w:val="000000"/>
          <w:szCs w:val="24"/>
          <w:lang w:eastAsia="en-GB"/>
        </w:rPr>
      </w:pPr>
    </w:p>
    <w:p w14:paraId="2DD4E4D0" w14:textId="34911223" w:rsidR="001E1FEC" w:rsidRPr="00D03A86" w:rsidRDefault="001E1FEC"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Decision maker: </w:t>
      </w:r>
      <w:r w:rsidR="00735EDD" w:rsidRPr="00D03A86">
        <w:rPr>
          <w:rFonts w:eastAsia="Times New Roman"/>
          <w:color w:val="000000"/>
          <w:szCs w:val="24"/>
          <w:lang w:eastAsia="en-GB"/>
        </w:rPr>
        <w:t xml:space="preserve">The </w:t>
      </w:r>
      <w:r w:rsidR="002025E5" w:rsidRPr="00D03A86">
        <w:rPr>
          <w:rFonts w:eastAsia="Times New Roman"/>
          <w:color w:val="000000"/>
          <w:szCs w:val="24"/>
          <w:lang w:eastAsia="en-GB"/>
        </w:rPr>
        <w:t>Interdisciplinary</w:t>
      </w:r>
      <w:r w:rsidR="00940136" w:rsidRPr="00D03A86">
        <w:rPr>
          <w:rFonts w:eastAsia="Times New Roman"/>
          <w:color w:val="000000"/>
          <w:szCs w:val="24"/>
          <w:lang w:eastAsia="en-GB"/>
        </w:rPr>
        <w:t xml:space="preserve"> Educational Assessment and </w:t>
      </w:r>
      <w:r w:rsidR="00735EDD" w:rsidRPr="00D03A86">
        <w:rPr>
          <w:rFonts w:eastAsia="Times New Roman"/>
          <w:color w:val="000000"/>
          <w:szCs w:val="24"/>
          <w:lang w:eastAsia="en-GB"/>
        </w:rPr>
        <w:t>Support Committee and/or the Centre for Educational and Counselling Support</w:t>
      </w:r>
      <w:r w:rsidR="00097591" w:rsidRPr="00D03A86">
        <w:rPr>
          <w:rFonts w:eastAsia="Times New Roman"/>
          <w:color w:val="000000"/>
          <w:szCs w:val="24"/>
          <w:lang w:eastAsia="en-GB"/>
        </w:rPr>
        <w:t>.</w:t>
      </w:r>
    </w:p>
    <w:p w14:paraId="3C71A75A" w14:textId="77777777" w:rsidR="00940136" w:rsidRPr="00D03A86" w:rsidRDefault="00940136" w:rsidP="00940136">
      <w:pPr>
        <w:spacing w:after="0" w:line="240" w:lineRule="auto"/>
        <w:jc w:val="both"/>
        <w:rPr>
          <w:rFonts w:eastAsia="Times New Roman"/>
          <w:color w:val="000000"/>
          <w:szCs w:val="24"/>
          <w:lang w:eastAsia="en-GB"/>
        </w:rPr>
      </w:pPr>
    </w:p>
    <w:p w14:paraId="03CDD7E7" w14:textId="0D8B9199" w:rsidR="002025E5" w:rsidRPr="00D03A86" w:rsidRDefault="002025E5"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Further details of the assessment:</w:t>
      </w:r>
      <w:r w:rsidR="00DD153A" w:rsidRPr="00D03A86">
        <w:rPr>
          <w:rFonts w:eastAsia="Times New Roman"/>
          <w:color w:val="000000"/>
          <w:szCs w:val="24"/>
          <w:lang w:eastAsia="en-GB"/>
        </w:rPr>
        <w:t xml:space="preserve"> </w:t>
      </w:r>
      <w:r w:rsidR="008B1FF4" w:rsidRPr="00D03A86">
        <w:rPr>
          <w:rFonts w:eastAsia="Times New Roman"/>
          <w:color w:val="000000"/>
          <w:szCs w:val="24"/>
          <w:lang w:eastAsia="en-GB"/>
        </w:rPr>
        <w:t>No specific link available as yet, other than the draft law.</w:t>
      </w:r>
    </w:p>
    <w:p w14:paraId="5B5ADB0C" w14:textId="77777777" w:rsidR="001E1FEC" w:rsidRPr="00D03A86" w:rsidRDefault="001E1FEC" w:rsidP="00940136">
      <w:pPr>
        <w:spacing w:after="0" w:line="240" w:lineRule="auto"/>
        <w:jc w:val="both"/>
        <w:rPr>
          <w:rFonts w:eastAsia="Times New Roman"/>
          <w:color w:val="000000"/>
          <w:szCs w:val="24"/>
          <w:lang w:eastAsia="en-GB"/>
        </w:rPr>
      </w:pPr>
    </w:p>
    <w:p w14:paraId="3140145F" w14:textId="4E78E630" w:rsidR="001E1FEC" w:rsidRPr="00D03A86" w:rsidRDefault="001E1FEC" w:rsidP="00940136">
      <w:pPr>
        <w:spacing w:after="0" w:line="240" w:lineRule="auto"/>
        <w:jc w:val="both"/>
        <w:rPr>
          <w:rFonts w:eastAsia="Times New Roman"/>
          <w:color w:val="000000"/>
          <w:szCs w:val="24"/>
          <w:lang w:eastAsia="en-GB"/>
        </w:rPr>
      </w:pPr>
      <w:r w:rsidRPr="00D03A86">
        <w:rPr>
          <w:rFonts w:eastAsia="Times New Roman"/>
          <w:color w:val="000000"/>
          <w:szCs w:val="24"/>
          <w:lang w:eastAsia="en-GB"/>
        </w:rPr>
        <w:t xml:space="preserve">Notification of outcome: </w:t>
      </w:r>
      <w:r w:rsidR="003D32CB" w:rsidRPr="00D03A86">
        <w:rPr>
          <w:rFonts w:eastAsia="Times New Roman"/>
          <w:color w:val="000000"/>
          <w:szCs w:val="24"/>
          <w:lang w:eastAsia="en-GB"/>
        </w:rPr>
        <w:t>The outcome of the assessment process mainly involves an Individualised Educational Plan</w:t>
      </w:r>
      <w:r w:rsidR="00CF2B9E" w:rsidRPr="00D03A86">
        <w:rPr>
          <w:rFonts w:eastAsia="Times New Roman"/>
          <w:color w:val="000000"/>
          <w:szCs w:val="24"/>
          <w:lang w:eastAsia="en-GB"/>
        </w:rPr>
        <w:t xml:space="preserve"> </w:t>
      </w:r>
      <w:r w:rsidR="003D32CB" w:rsidRPr="00D03A86">
        <w:rPr>
          <w:rFonts w:eastAsia="Times New Roman"/>
          <w:color w:val="000000"/>
          <w:szCs w:val="24"/>
          <w:lang w:eastAsia="en-GB"/>
        </w:rPr>
        <w:t>and may also include recommendations regarding the appropriate school environment, suitable technical a</w:t>
      </w:r>
      <w:r w:rsidR="00940136" w:rsidRPr="00D03A86">
        <w:rPr>
          <w:rFonts w:eastAsia="Times New Roman"/>
          <w:color w:val="000000"/>
          <w:szCs w:val="24"/>
          <w:lang w:eastAsia="en-GB"/>
        </w:rPr>
        <w:t xml:space="preserve">ids and ICT, or substitution of </w:t>
      </w:r>
      <w:r w:rsidR="003D32CB" w:rsidRPr="00D03A86">
        <w:rPr>
          <w:rFonts w:eastAsia="Times New Roman"/>
          <w:color w:val="000000"/>
          <w:szCs w:val="24"/>
          <w:lang w:eastAsia="en-GB"/>
        </w:rPr>
        <w:t>written exams with oral at all levels of primary and secondary education.</w:t>
      </w:r>
    </w:p>
    <w:p w14:paraId="66E0E640" w14:textId="4092EE77" w:rsidR="00CF2B9E" w:rsidRPr="00D03A86" w:rsidRDefault="001E1FEC" w:rsidP="00D03A86">
      <w:pPr>
        <w:spacing w:after="0" w:line="240" w:lineRule="auto"/>
        <w:jc w:val="both"/>
        <w:rPr>
          <w:szCs w:val="24"/>
        </w:rPr>
      </w:pPr>
      <w:r w:rsidRPr="00D03A86">
        <w:rPr>
          <w:szCs w:val="24"/>
        </w:rPr>
        <w:t>Appeals Process:</w:t>
      </w:r>
      <w:r w:rsidR="00285F64" w:rsidRPr="00D03A86">
        <w:rPr>
          <w:szCs w:val="24"/>
        </w:rPr>
        <w:t xml:space="preserve"> Not applicable. The purpose of the assessment is to provide advice and suitable support without setting any "qualifying levels of disability" as such.</w:t>
      </w:r>
      <w:r w:rsidR="00A84BB4" w:rsidRPr="00D03A86">
        <w:rPr>
          <w:szCs w:val="24"/>
        </w:rPr>
        <w:t xml:space="preserve"> </w:t>
      </w:r>
    </w:p>
    <w:p w14:paraId="6AE40FD0" w14:textId="0F23AE42" w:rsidR="00204536" w:rsidRPr="00D03A86" w:rsidRDefault="00204536" w:rsidP="00CF2B9E">
      <w:pPr>
        <w:pStyle w:val="Heading1"/>
        <w:rPr>
          <w:lang w:val="en-GB"/>
        </w:rPr>
      </w:pPr>
      <w:bookmarkStart w:id="1" w:name="_Toc536024023"/>
      <w:r w:rsidRPr="00D03A86">
        <w:rPr>
          <w:lang w:val="en-GB"/>
        </w:rPr>
        <w:lastRenderedPageBreak/>
        <w:t xml:space="preserve">Part 2 – Analysis and evaluation of </w:t>
      </w:r>
      <w:r w:rsidR="00F535A3" w:rsidRPr="00D03A86">
        <w:rPr>
          <w:lang w:val="en-GB"/>
        </w:rPr>
        <w:t>specific assessments</w:t>
      </w:r>
      <w:bookmarkEnd w:id="1"/>
    </w:p>
    <w:p w14:paraId="70A31074" w14:textId="77777777" w:rsidR="00296481" w:rsidRPr="00D03A86" w:rsidRDefault="00296481" w:rsidP="00940136">
      <w:pPr>
        <w:spacing w:after="0" w:line="240" w:lineRule="auto"/>
        <w:jc w:val="both"/>
        <w:rPr>
          <w:szCs w:val="24"/>
        </w:rPr>
      </w:pPr>
    </w:p>
    <w:p w14:paraId="6B3C679C" w14:textId="77777777" w:rsidR="00B7632B" w:rsidRPr="00D03A86" w:rsidRDefault="00204536" w:rsidP="00940136">
      <w:pPr>
        <w:spacing w:after="0" w:line="240" w:lineRule="auto"/>
        <w:jc w:val="both"/>
        <w:rPr>
          <w:szCs w:val="24"/>
        </w:rPr>
      </w:pPr>
      <w:r w:rsidRPr="00D03A86">
        <w:rPr>
          <w:szCs w:val="24"/>
        </w:rPr>
        <w:t xml:space="preserve">This </w:t>
      </w:r>
      <w:r w:rsidR="00EF5208" w:rsidRPr="00D03A86">
        <w:rPr>
          <w:szCs w:val="24"/>
        </w:rPr>
        <w:t>part</w:t>
      </w:r>
      <w:r w:rsidRPr="00D03A86">
        <w:rPr>
          <w:szCs w:val="24"/>
        </w:rPr>
        <w:t xml:space="preserve"> of the report provides more in-depth analys</w:t>
      </w:r>
      <w:r w:rsidR="00EF5208" w:rsidRPr="00D03A86">
        <w:rPr>
          <w:szCs w:val="24"/>
        </w:rPr>
        <w:t>e</w:t>
      </w:r>
      <w:r w:rsidRPr="00D03A86">
        <w:rPr>
          <w:szCs w:val="24"/>
        </w:rPr>
        <w:t xml:space="preserve">s of </w:t>
      </w:r>
      <w:r w:rsidR="00EF5208" w:rsidRPr="00D03A86">
        <w:rPr>
          <w:szCs w:val="24"/>
        </w:rPr>
        <w:t xml:space="preserve">three selected </w:t>
      </w:r>
      <w:r w:rsidR="00F535A3" w:rsidRPr="00D03A86">
        <w:rPr>
          <w:szCs w:val="24"/>
        </w:rPr>
        <w:t>case studies of</w:t>
      </w:r>
      <w:r w:rsidRPr="00D03A86">
        <w:rPr>
          <w:szCs w:val="24"/>
        </w:rPr>
        <w:t xml:space="preserve"> </w:t>
      </w:r>
      <w:r w:rsidR="00F535A3" w:rsidRPr="00D03A86">
        <w:rPr>
          <w:szCs w:val="24"/>
        </w:rPr>
        <w:t xml:space="preserve">assessment </w:t>
      </w:r>
      <w:r w:rsidRPr="00D03A86">
        <w:rPr>
          <w:szCs w:val="24"/>
        </w:rPr>
        <w:t xml:space="preserve">procedure, </w:t>
      </w:r>
      <w:r w:rsidR="00F535A3" w:rsidRPr="00D03A86">
        <w:rPr>
          <w:szCs w:val="24"/>
        </w:rPr>
        <w:t xml:space="preserve">their suitability and effectiveness. </w:t>
      </w:r>
    </w:p>
    <w:p w14:paraId="66906C63" w14:textId="77777777" w:rsidR="00B7632B" w:rsidRPr="00D03A86" w:rsidRDefault="00B7632B" w:rsidP="00940136">
      <w:pPr>
        <w:spacing w:after="0" w:line="240" w:lineRule="auto"/>
        <w:jc w:val="both"/>
        <w:rPr>
          <w:szCs w:val="24"/>
        </w:rPr>
      </w:pPr>
    </w:p>
    <w:p w14:paraId="66852128" w14:textId="12193570" w:rsidR="00B7632B" w:rsidRPr="00D03A86" w:rsidRDefault="00B7632B" w:rsidP="00940136">
      <w:pPr>
        <w:spacing w:after="0" w:line="240" w:lineRule="auto"/>
        <w:rPr>
          <w:i/>
          <w:color w:val="4F81BD" w:themeColor="accent1"/>
          <w:szCs w:val="24"/>
        </w:rPr>
      </w:pPr>
      <w:r w:rsidRPr="00D03A86">
        <w:rPr>
          <w:i/>
          <w:color w:val="4F81BD" w:themeColor="accent1"/>
          <w:szCs w:val="24"/>
        </w:rPr>
        <w:t xml:space="preserve">Please use the EU MISSOC tables (similar to DOTCOM) providing country specific information on specific types of benefits as a starting point, </w:t>
      </w:r>
      <w:hyperlink r:id="rId12" w:history="1">
        <w:r w:rsidRPr="00D03A86">
          <w:rPr>
            <w:rStyle w:val="Hyperlink"/>
            <w:i/>
            <w:color w:val="4F81BD" w:themeColor="accent1"/>
            <w:szCs w:val="24"/>
          </w:rPr>
          <w:t>http://www.missoc.org/INFORMATIONBASE/COMPARATIVETABLES/MISSOCDATABASE/comparativeTableSearch.jsp</w:t>
        </w:r>
      </w:hyperlink>
      <w:r w:rsidR="00B4156B" w:rsidRPr="00D03A86">
        <w:rPr>
          <w:i/>
          <w:color w:val="4F81BD" w:themeColor="accent1"/>
          <w:szCs w:val="24"/>
        </w:rPr>
        <w:t>.</w:t>
      </w:r>
    </w:p>
    <w:p w14:paraId="1E946372" w14:textId="77777777" w:rsidR="00B7632B" w:rsidRPr="00D03A86" w:rsidRDefault="00B7632B" w:rsidP="00940136">
      <w:pPr>
        <w:spacing w:after="0" w:line="240" w:lineRule="auto"/>
        <w:jc w:val="both"/>
        <w:rPr>
          <w:szCs w:val="24"/>
        </w:rPr>
      </w:pPr>
    </w:p>
    <w:p w14:paraId="40C437B9" w14:textId="4F0B3CD4" w:rsidR="005C3021" w:rsidRPr="00D03A86" w:rsidRDefault="00F535A3" w:rsidP="00940136">
      <w:pPr>
        <w:spacing w:after="0" w:line="240" w:lineRule="auto"/>
        <w:jc w:val="both"/>
        <w:rPr>
          <w:szCs w:val="24"/>
        </w:rPr>
      </w:pPr>
      <w:r w:rsidRPr="00D03A86">
        <w:rPr>
          <w:szCs w:val="24"/>
        </w:rPr>
        <w:t xml:space="preserve">The </w:t>
      </w:r>
      <w:r w:rsidR="00EF5208" w:rsidRPr="00D03A86">
        <w:rPr>
          <w:szCs w:val="24"/>
        </w:rPr>
        <w:t>cases</w:t>
      </w:r>
      <w:r w:rsidRPr="00D03A86">
        <w:rPr>
          <w:szCs w:val="24"/>
        </w:rPr>
        <w:t xml:space="preserve"> are selected to enable </w:t>
      </w:r>
      <w:r w:rsidR="00EF5208" w:rsidRPr="00D03A86">
        <w:rPr>
          <w:szCs w:val="24"/>
        </w:rPr>
        <w:t xml:space="preserve">systematic </w:t>
      </w:r>
      <w:r w:rsidRPr="00D03A86">
        <w:rPr>
          <w:szCs w:val="24"/>
        </w:rPr>
        <w:t xml:space="preserve">comparison between countries and to focus on areas of policy priority and development. </w:t>
      </w:r>
    </w:p>
    <w:p w14:paraId="746112F7" w14:textId="77777777" w:rsidR="00265AF9" w:rsidRPr="00D03A86" w:rsidRDefault="00265AF9" w:rsidP="00940136">
      <w:pPr>
        <w:spacing w:after="0" w:line="240" w:lineRule="auto"/>
        <w:jc w:val="both"/>
        <w:rPr>
          <w:szCs w:val="24"/>
        </w:rPr>
      </w:pPr>
    </w:p>
    <w:p w14:paraId="7DB98B19" w14:textId="70D9777D" w:rsidR="00EA22D7" w:rsidRPr="00D03A86" w:rsidRDefault="00EF5208" w:rsidP="00940136">
      <w:pPr>
        <w:pStyle w:val="Heading2"/>
        <w:jc w:val="both"/>
        <w:rPr>
          <w:szCs w:val="24"/>
        </w:rPr>
      </w:pPr>
      <w:bookmarkStart w:id="2" w:name="_Toc536024024"/>
      <w:r w:rsidRPr="00D03A86">
        <w:rPr>
          <w:szCs w:val="24"/>
        </w:rPr>
        <w:t>Case study</w:t>
      </w:r>
      <w:r w:rsidR="00233E3B" w:rsidRPr="00D03A86">
        <w:rPr>
          <w:szCs w:val="24"/>
        </w:rPr>
        <w:t xml:space="preserve"> 1</w:t>
      </w:r>
      <w:r w:rsidRPr="00D03A86">
        <w:rPr>
          <w:szCs w:val="24"/>
        </w:rPr>
        <w:t xml:space="preserve">: </w:t>
      </w:r>
      <w:r w:rsidR="00CF2B9E" w:rsidRPr="00D03A86">
        <w:rPr>
          <w:szCs w:val="24"/>
        </w:rPr>
        <w:t>Certification of disability</w:t>
      </w:r>
      <w:bookmarkEnd w:id="2"/>
      <w:r w:rsidR="0061517C" w:rsidRPr="00D03A86">
        <w:rPr>
          <w:szCs w:val="24"/>
        </w:rPr>
        <w:t xml:space="preserve"> </w:t>
      </w:r>
    </w:p>
    <w:p w14:paraId="429A87C1" w14:textId="58A6BAD4" w:rsidR="00EF5208" w:rsidRPr="00D03A86" w:rsidRDefault="00E3006C" w:rsidP="00940136">
      <w:pPr>
        <w:spacing w:after="0" w:line="240" w:lineRule="auto"/>
        <w:jc w:val="both"/>
        <w:rPr>
          <w:rStyle w:val="IntenseEmphasis"/>
          <w:szCs w:val="24"/>
        </w:rPr>
      </w:pPr>
      <w:r w:rsidRPr="00D03A86">
        <w:rPr>
          <w:rStyle w:val="IntenseEmphasis"/>
          <w:szCs w:val="24"/>
        </w:rPr>
        <w:t>(admission to a general register or status of disabled person(s)</w:t>
      </w:r>
      <w:r w:rsidR="008D3CB8" w:rsidRPr="00D03A86">
        <w:rPr>
          <w:rStyle w:val="IntenseEmphasis"/>
          <w:szCs w:val="24"/>
        </w:rPr>
        <w:t xml:space="preserve"> or comprehensive assessment for multiple purposes</w:t>
      </w:r>
      <w:r w:rsidRPr="00D03A86">
        <w:rPr>
          <w:rStyle w:val="IntenseEmphasis"/>
          <w:szCs w:val="24"/>
        </w:rPr>
        <w:t>)</w:t>
      </w:r>
      <w:r w:rsidR="00410AE7" w:rsidRPr="00D03A86">
        <w:rPr>
          <w:rStyle w:val="IntenseEmphasis"/>
          <w:szCs w:val="24"/>
        </w:rPr>
        <w:t>.</w:t>
      </w:r>
    </w:p>
    <w:p w14:paraId="0F6EF73C" w14:textId="77777777" w:rsidR="00EA22D7" w:rsidRPr="00D03A86" w:rsidRDefault="00EA22D7" w:rsidP="00940136">
      <w:pPr>
        <w:spacing w:after="0" w:line="240" w:lineRule="auto"/>
        <w:jc w:val="both"/>
        <w:rPr>
          <w:szCs w:val="24"/>
        </w:rPr>
      </w:pPr>
    </w:p>
    <w:p w14:paraId="3D56BEE5" w14:textId="4F050A75" w:rsidR="00EF5208" w:rsidRPr="00D03A86" w:rsidRDefault="00EF5208" w:rsidP="00940136">
      <w:pPr>
        <w:spacing w:after="0" w:line="240" w:lineRule="auto"/>
        <w:jc w:val="both"/>
        <w:rPr>
          <w:szCs w:val="24"/>
        </w:rPr>
      </w:pPr>
      <w:r w:rsidRPr="00D03A86">
        <w:rPr>
          <w:szCs w:val="24"/>
        </w:rPr>
        <w:t>An outline of the key features of this assessment process is provided in Part 1 of this report (</w:t>
      </w:r>
      <w:r w:rsidRPr="00D03A86">
        <w:rPr>
          <w:b/>
          <w:szCs w:val="24"/>
        </w:rPr>
        <w:t xml:space="preserve">see Example </w:t>
      </w:r>
      <w:r w:rsidR="00822488" w:rsidRPr="00D03A86">
        <w:rPr>
          <w:b/>
          <w:szCs w:val="24"/>
        </w:rPr>
        <w:t>1</w:t>
      </w:r>
      <w:r w:rsidRPr="00D03A86">
        <w:rPr>
          <w:szCs w:val="24"/>
        </w:rPr>
        <w:t>).</w:t>
      </w:r>
    </w:p>
    <w:p w14:paraId="3F10ABB4" w14:textId="48E38C36" w:rsidR="00265AF9" w:rsidRPr="00D03A86" w:rsidRDefault="00265AF9" w:rsidP="00940136">
      <w:pPr>
        <w:spacing w:after="0" w:line="240" w:lineRule="auto"/>
        <w:jc w:val="both"/>
        <w:rPr>
          <w:szCs w:val="24"/>
        </w:rPr>
      </w:pPr>
    </w:p>
    <w:p w14:paraId="5C86CB35" w14:textId="55A90FE6" w:rsidR="00AC1C8F" w:rsidRPr="00D03A86" w:rsidRDefault="00E377A7" w:rsidP="00940136">
      <w:pPr>
        <w:spacing w:after="0" w:line="240" w:lineRule="auto"/>
        <w:jc w:val="both"/>
        <w:rPr>
          <w:szCs w:val="24"/>
        </w:rPr>
      </w:pPr>
      <w:r w:rsidRPr="00D03A86">
        <w:rPr>
          <w:szCs w:val="24"/>
        </w:rPr>
        <w:t>This</w:t>
      </w:r>
      <w:r w:rsidR="00AC1C8F" w:rsidRPr="00D03A86">
        <w:rPr>
          <w:szCs w:val="24"/>
        </w:rPr>
        <w:t xml:space="preserve"> case study </w:t>
      </w:r>
      <w:r w:rsidRPr="00D03A86">
        <w:rPr>
          <w:szCs w:val="24"/>
        </w:rPr>
        <w:t>involves</w:t>
      </w:r>
      <w:r w:rsidR="00AC1C8F" w:rsidRPr="00D03A86">
        <w:rPr>
          <w:szCs w:val="24"/>
        </w:rPr>
        <w:t xml:space="preserve"> the main </w:t>
      </w:r>
      <w:r w:rsidR="00047C36" w:rsidRPr="00D03A86">
        <w:rPr>
          <w:szCs w:val="24"/>
        </w:rPr>
        <w:t>procedure</w:t>
      </w:r>
      <w:r w:rsidR="00B2735C" w:rsidRPr="00D03A86">
        <w:rPr>
          <w:szCs w:val="24"/>
        </w:rPr>
        <w:t xml:space="preserve"> and method</w:t>
      </w:r>
      <w:r w:rsidR="00AC1C8F" w:rsidRPr="00D03A86">
        <w:rPr>
          <w:szCs w:val="24"/>
        </w:rPr>
        <w:t xml:space="preserve"> </w:t>
      </w:r>
      <w:r w:rsidR="00047C36" w:rsidRPr="00D03A86">
        <w:rPr>
          <w:szCs w:val="24"/>
        </w:rPr>
        <w:t xml:space="preserve">used </w:t>
      </w:r>
      <w:r w:rsidR="00AC1C8F" w:rsidRPr="00D03A86">
        <w:rPr>
          <w:szCs w:val="24"/>
        </w:rPr>
        <w:t xml:space="preserve">for </w:t>
      </w:r>
      <w:r w:rsidR="00B2735C" w:rsidRPr="00D03A86">
        <w:rPr>
          <w:szCs w:val="24"/>
        </w:rPr>
        <w:t>assessing</w:t>
      </w:r>
      <w:r w:rsidR="00AC1C8F" w:rsidRPr="00D03A86">
        <w:rPr>
          <w:szCs w:val="24"/>
        </w:rPr>
        <w:t xml:space="preserve"> disability for most disability related provisions, such as benefits in cash (e.g. pensions and welfare benefits) and benefits in kind (e.g. services), beneficial treatment (e.g. eligibility to apply for quota jobs, access to university at 5% quota scheme)</w:t>
      </w:r>
      <w:r w:rsidR="00F60AF8" w:rsidRPr="00D03A86">
        <w:rPr>
          <w:szCs w:val="24"/>
        </w:rPr>
        <w:t xml:space="preserve">, </w:t>
      </w:r>
      <w:r w:rsidR="00AC1C8F" w:rsidRPr="00D03A86">
        <w:rPr>
          <w:szCs w:val="24"/>
        </w:rPr>
        <w:t xml:space="preserve">discounts or concessions (e.g. tax allowances). </w:t>
      </w:r>
      <w:r w:rsidRPr="00D03A86">
        <w:rPr>
          <w:szCs w:val="24"/>
        </w:rPr>
        <w:t>This process is streamlined across social security bodies and welfare and provides certification of disability for any legal purpose.</w:t>
      </w:r>
      <w:r w:rsidR="00147B0A" w:rsidRPr="00D03A86">
        <w:rPr>
          <w:szCs w:val="24"/>
        </w:rPr>
        <w:t xml:space="preserve"> The assessment method </w:t>
      </w:r>
      <w:r w:rsidR="003327C4" w:rsidRPr="00D03A86">
        <w:rPr>
          <w:szCs w:val="24"/>
        </w:rPr>
        <w:t xml:space="preserve">used </w:t>
      </w:r>
      <w:r w:rsidR="00147B0A" w:rsidRPr="00D03A86">
        <w:rPr>
          <w:szCs w:val="24"/>
        </w:rPr>
        <w:t xml:space="preserve">is the </w:t>
      </w:r>
      <w:proofErr w:type="spellStart"/>
      <w:r w:rsidR="00147B0A" w:rsidRPr="00D03A86">
        <w:rPr>
          <w:szCs w:val="24"/>
        </w:rPr>
        <w:t>Barema</w:t>
      </w:r>
      <w:proofErr w:type="spellEnd"/>
      <w:r w:rsidR="00147B0A" w:rsidRPr="00D03A86">
        <w:rPr>
          <w:szCs w:val="24"/>
        </w:rPr>
        <w:t xml:space="preserve"> Method % scale.</w:t>
      </w:r>
    </w:p>
    <w:p w14:paraId="76905907" w14:textId="77777777" w:rsidR="00AC1C8F" w:rsidRPr="00D03A86" w:rsidRDefault="00AC1C8F" w:rsidP="00940136">
      <w:pPr>
        <w:spacing w:after="0" w:line="240" w:lineRule="auto"/>
        <w:jc w:val="both"/>
        <w:rPr>
          <w:szCs w:val="24"/>
        </w:rPr>
      </w:pPr>
    </w:p>
    <w:p w14:paraId="43E6317B" w14:textId="77777777" w:rsidR="00EF5208" w:rsidRPr="00D03A86" w:rsidRDefault="00EF5208" w:rsidP="00940136">
      <w:pPr>
        <w:pStyle w:val="Heading3"/>
        <w:spacing w:before="0" w:line="240" w:lineRule="auto"/>
        <w:jc w:val="both"/>
        <w:rPr>
          <w:szCs w:val="24"/>
        </w:rPr>
      </w:pPr>
      <w:r w:rsidRPr="00D03A86">
        <w:rPr>
          <w:szCs w:val="24"/>
        </w:rPr>
        <w:t xml:space="preserve">Detailed description of the assessment </w:t>
      </w:r>
      <w:r w:rsidR="009D5872" w:rsidRPr="00D03A86">
        <w:rPr>
          <w:szCs w:val="24"/>
        </w:rPr>
        <w:t>process</w:t>
      </w:r>
    </w:p>
    <w:p w14:paraId="6327D25B" w14:textId="78C3AB46" w:rsidR="00F4214D" w:rsidRPr="00D03A86" w:rsidRDefault="00F4214D" w:rsidP="00940136">
      <w:pPr>
        <w:spacing w:after="0" w:line="240" w:lineRule="auto"/>
        <w:jc w:val="both"/>
        <w:rPr>
          <w:szCs w:val="24"/>
        </w:rPr>
      </w:pPr>
    </w:p>
    <w:p w14:paraId="1EB347D4" w14:textId="77777777" w:rsidR="00673C5E" w:rsidRPr="00D03A86" w:rsidRDefault="00673C5E" w:rsidP="00673C5E">
      <w:pPr>
        <w:spacing w:after="0" w:line="240" w:lineRule="auto"/>
        <w:jc w:val="both"/>
        <w:rPr>
          <w:i/>
          <w:color w:val="4F81BD" w:themeColor="accent1"/>
        </w:rPr>
      </w:pPr>
      <w:bookmarkStart w:id="3" w:name="_Hlk524097059"/>
      <w:r w:rsidRPr="00D03A86">
        <w:rPr>
          <w:i/>
          <w:color w:val="4F81BD" w:themeColor="accent1"/>
        </w:rPr>
        <w:t>The main stages of the process, from application to decision, and appeal against decision, detailing the types of professionals involved and their responsibilities. Please also describe the administrative arrangements and the roles of the different institutions involved in the process. Please indicate what role the person being assessed plays in the procedure.</w:t>
      </w:r>
    </w:p>
    <w:bookmarkEnd w:id="3"/>
    <w:p w14:paraId="48CDEABE" w14:textId="77777777" w:rsidR="00673C5E" w:rsidRPr="00D03A86" w:rsidRDefault="00673C5E" w:rsidP="00940136">
      <w:pPr>
        <w:spacing w:after="0" w:line="240" w:lineRule="auto"/>
        <w:jc w:val="both"/>
        <w:rPr>
          <w:szCs w:val="24"/>
        </w:rPr>
      </w:pPr>
    </w:p>
    <w:p w14:paraId="7A6D78E8" w14:textId="3ED56183" w:rsidR="009D7D57" w:rsidRPr="00D03A86" w:rsidRDefault="00F4214D" w:rsidP="00940136">
      <w:pPr>
        <w:spacing w:after="0" w:line="240" w:lineRule="auto"/>
        <w:jc w:val="both"/>
        <w:rPr>
          <w:szCs w:val="24"/>
        </w:rPr>
      </w:pPr>
      <w:r w:rsidRPr="00D03A86">
        <w:rPr>
          <w:szCs w:val="24"/>
        </w:rPr>
        <w:t xml:space="preserve">First established as part of </w:t>
      </w:r>
      <w:r w:rsidR="00055EA4" w:rsidRPr="00D03A86">
        <w:rPr>
          <w:szCs w:val="24"/>
        </w:rPr>
        <w:t xml:space="preserve">the </w:t>
      </w:r>
      <w:r w:rsidRPr="00D03A86">
        <w:rPr>
          <w:szCs w:val="24"/>
        </w:rPr>
        <w:t>social secur</w:t>
      </w:r>
      <w:r w:rsidR="009D7D57" w:rsidRPr="00D03A86">
        <w:rPr>
          <w:szCs w:val="24"/>
        </w:rPr>
        <w:t xml:space="preserve">ity reform </w:t>
      </w:r>
      <w:r w:rsidR="00055EA4" w:rsidRPr="00D03A86">
        <w:rPr>
          <w:szCs w:val="24"/>
        </w:rPr>
        <w:t xml:space="preserve">Law </w:t>
      </w:r>
      <w:r w:rsidR="009D7D57" w:rsidRPr="00D03A86">
        <w:rPr>
          <w:szCs w:val="24"/>
        </w:rPr>
        <w:t>3863/2010</w:t>
      </w:r>
      <w:r w:rsidR="003E2ED8" w:rsidRPr="00D03A86">
        <w:rPr>
          <w:szCs w:val="24"/>
        </w:rPr>
        <w:t xml:space="preserve"> (operational in 2011)</w:t>
      </w:r>
      <w:r w:rsidR="009D7D57" w:rsidRPr="00D03A86">
        <w:rPr>
          <w:szCs w:val="24"/>
        </w:rPr>
        <w:t>, the Centre for Certification of Disability</w:t>
      </w:r>
      <w:r w:rsidR="00055EA4" w:rsidRPr="00D03A86">
        <w:rPr>
          <w:szCs w:val="24"/>
        </w:rPr>
        <w:t xml:space="preserve"> (KEPA)</w:t>
      </w:r>
      <w:r w:rsidR="008C16E8" w:rsidRPr="00D03A86">
        <w:rPr>
          <w:szCs w:val="24"/>
        </w:rPr>
        <w:t>,</w:t>
      </w:r>
      <w:r w:rsidR="00D24D71" w:rsidRPr="00D03A86">
        <w:rPr>
          <w:rStyle w:val="FootnoteReference"/>
          <w:szCs w:val="24"/>
        </w:rPr>
        <w:footnoteReference w:id="4"/>
      </w:r>
      <w:r w:rsidR="00372FC6" w:rsidRPr="00D03A86">
        <w:rPr>
          <w:szCs w:val="24"/>
        </w:rPr>
        <w:t xml:space="preserve"> </w:t>
      </w:r>
      <w:r w:rsidR="00780B72" w:rsidRPr="00D03A86">
        <w:rPr>
          <w:szCs w:val="24"/>
        </w:rPr>
        <w:t xml:space="preserve">part of the Social Security Agency (EFKA), </w:t>
      </w:r>
      <w:r w:rsidR="00B03FBD" w:rsidRPr="00D03A86">
        <w:rPr>
          <w:szCs w:val="24"/>
        </w:rPr>
        <w:t xml:space="preserve">working </w:t>
      </w:r>
      <w:r w:rsidR="00780B72" w:rsidRPr="00D03A86">
        <w:rPr>
          <w:szCs w:val="24"/>
        </w:rPr>
        <w:t>under the auspice</w:t>
      </w:r>
      <w:r w:rsidR="00372FC6" w:rsidRPr="00D03A86">
        <w:rPr>
          <w:szCs w:val="24"/>
        </w:rPr>
        <w:t xml:space="preserve"> of the Ministry of Labour, Social Security and Social Solidarity,</w:t>
      </w:r>
      <w:r w:rsidR="00D41E8E" w:rsidRPr="00D03A86">
        <w:rPr>
          <w:szCs w:val="24"/>
        </w:rPr>
        <w:t xml:space="preserve"> </w:t>
      </w:r>
      <w:r w:rsidR="00147B0A" w:rsidRPr="00D03A86">
        <w:rPr>
          <w:szCs w:val="24"/>
        </w:rPr>
        <w:t xml:space="preserve">aims </w:t>
      </w:r>
      <w:r w:rsidR="00D41E8E" w:rsidRPr="00D03A86">
        <w:rPr>
          <w:szCs w:val="24"/>
        </w:rPr>
        <w:t>at streamlining</w:t>
      </w:r>
      <w:r w:rsidR="009D7D57" w:rsidRPr="00D03A86">
        <w:rPr>
          <w:szCs w:val="24"/>
        </w:rPr>
        <w:t xml:space="preserve"> assessment procedure</w:t>
      </w:r>
      <w:r w:rsidR="00D41E8E" w:rsidRPr="00D03A86">
        <w:rPr>
          <w:szCs w:val="24"/>
        </w:rPr>
        <w:t>s</w:t>
      </w:r>
      <w:r w:rsidR="009D7D57" w:rsidRPr="00D03A86">
        <w:rPr>
          <w:szCs w:val="24"/>
        </w:rPr>
        <w:t xml:space="preserve"> for accessing disability provisions available across social security bodies and the welfare state (i.e. disability pensions</w:t>
      </w:r>
      <w:r w:rsidR="00352A0F" w:rsidRPr="00D03A86">
        <w:rPr>
          <w:szCs w:val="24"/>
        </w:rPr>
        <w:t>, healthcare</w:t>
      </w:r>
      <w:r w:rsidR="009D7D57" w:rsidRPr="00D03A86">
        <w:rPr>
          <w:szCs w:val="24"/>
        </w:rPr>
        <w:t xml:space="preserve"> and benefits)</w:t>
      </w:r>
      <w:r w:rsidR="00147B0A" w:rsidRPr="00D03A86">
        <w:rPr>
          <w:szCs w:val="24"/>
        </w:rPr>
        <w:t>,</w:t>
      </w:r>
      <w:r w:rsidR="009D7D57" w:rsidRPr="00D03A86">
        <w:rPr>
          <w:szCs w:val="24"/>
        </w:rPr>
        <w:t xml:space="preserve"> as well as provisions </w:t>
      </w:r>
      <w:r w:rsidR="00272E88" w:rsidRPr="00D03A86">
        <w:rPr>
          <w:szCs w:val="24"/>
        </w:rPr>
        <w:t>in kind</w:t>
      </w:r>
      <w:r w:rsidR="00147B0A" w:rsidRPr="00D03A86">
        <w:rPr>
          <w:szCs w:val="24"/>
        </w:rPr>
        <w:t>,</w:t>
      </w:r>
      <w:r w:rsidR="00272E88" w:rsidRPr="00D03A86">
        <w:rPr>
          <w:szCs w:val="24"/>
        </w:rPr>
        <w:t xml:space="preserve"> for instance </w:t>
      </w:r>
      <w:r w:rsidR="009D7D57" w:rsidRPr="00D03A86">
        <w:rPr>
          <w:szCs w:val="24"/>
        </w:rPr>
        <w:t>linked with tax</w:t>
      </w:r>
      <w:r w:rsidR="00914D63" w:rsidRPr="00D03A86">
        <w:rPr>
          <w:szCs w:val="24"/>
        </w:rPr>
        <w:t xml:space="preserve"> benefits</w:t>
      </w:r>
      <w:r w:rsidR="009D7D57" w:rsidRPr="00D03A86">
        <w:rPr>
          <w:szCs w:val="24"/>
        </w:rPr>
        <w:t>,</w:t>
      </w:r>
      <w:r w:rsidR="00272E88" w:rsidRPr="00D03A86">
        <w:rPr>
          <w:szCs w:val="24"/>
        </w:rPr>
        <w:t xml:space="preserve"> or</w:t>
      </w:r>
      <w:r w:rsidR="009D7D57" w:rsidRPr="00D03A86">
        <w:rPr>
          <w:szCs w:val="24"/>
        </w:rPr>
        <w:t xml:space="preserve"> </w:t>
      </w:r>
      <w:r w:rsidR="00272E88" w:rsidRPr="00D03A86">
        <w:rPr>
          <w:szCs w:val="24"/>
        </w:rPr>
        <w:t xml:space="preserve">supportive measures in </w:t>
      </w:r>
      <w:r w:rsidR="009D7D57" w:rsidRPr="00D03A86">
        <w:rPr>
          <w:szCs w:val="24"/>
        </w:rPr>
        <w:t xml:space="preserve">education </w:t>
      </w:r>
      <w:r w:rsidR="00914D63" w:rsidRPr="00D03A86">
        <w:rPr>
          <w:szCs w:val="24"/>
        </w:rPr>
        <w:t>and</w:t>
      </w:r>
      <w:r w:rsidR="009D7D57" w:rsidRPr="00D03A86">
        <w:rPr>
          <w:szCs w:val="24"/>
        </w:rPr>
        <w:t xml:space="preserve"> employment</w:t>
      </w:r>
      <w:r w:rsidR="00914D63" w:rsidRPr="00D03A86">
        <w:rPr>
          <w:szCs w:val="24"/>
        </w:rPr>
        <w:t>.</w:t>
      </w:r>
      <w:r w:rsidR="009D7D57" w:rsidRPr="00D03A86">
        <w:rPr>
          <w:szCs w:val="24"/>
        </w:rPr>
        <w:t xml:space="preserve"> </w:t>
      </w:r>
    </w:p>
    <w:p w14:paraId="61A82A7C" w14:textId="77777777" w:rsidR="00055EA4" w:rsidRPr="00D03A86" w:rsidRDefault="00055EA4" w:rsidP="00940136">
      <w:pPr>
        <w:spacing w:after="0" w:line="240" w:lineRule="auto"/>
        <w:jc w:val="both"/>
        <w:rPr>
          <w:szCs w:val="24"/>
        </w:rPr>
      </w:pPr>
    </w:p>
    <w:p w14:paraId="51259AFA" w14:textId="0DA80BA4" w:rsidR="00257C72" w:rsidRPr="00D03A86" w:rsidRDefault="00055EA4" w:rsidP="00940136">
      <w:pPr>
        <w:spacing w:after="0" w:line="240" w:lineRule="auto"/>
        <w:jc w:val="both"/>
        <w:rPr>
          <w:szCs w:val="24"/>
        </w:rPr>
      </w:pPr>
      <w:r w:rsidRPr="00D03A86">
        <w:rPr>
          <w:szCs w:val="24"/>
        </w:rPr>
        <w:t xml:space="preserve">The first stage of the </w:t>
      </w:r>
      <w:r w:rsidR="00147B0A" w:rsidRPr="00D03A86">
        <w:rPr>
          <w:szCs w:val="24"/>
        </w:rPr>
        <w:t xml:space="preserve">assessment </w:t>
      </w:r>
      <w:r w:rsidRPr="00D03A86">
        <w:rPr>
          <w:szCs w:val="24"/>
        </w:rPr>
        <w:t xml:space="preserve">process includes submission of </w:t>
      </w:r>
      <w:r w:rsidR="004D3044" w:rsidRPr="00D03A86">
        <w:rPr>
          <w:szCs w:val="24"/>
        </w:rPr>
        <w:t xml:space="preserve">an </w:t>
      </w:r>
      <w:r w:rsidRPr="00D03A86">
        <w:rPr>
          <w:szCs w:val="24"/>
        </w:rPr>
        <w:t xml:space="preserve">application along with a </w:t>
      </w:r>
      <w:r w:rsidR="00AF1234" w:rsidRPr="00D03A86">
        <w:rPr>
          <w:szCs w:val="24"/>
        </w:rPr>
        <w:t>“</w:t>
      </w:r>
      <w:r w:rsidRPr="00D03A86">
        <w:rPr>
          <w:szCs w:val="24"/>
        </w:rPr>
        <w:t>disability folder</w:t>
      </w:r>
      <w:r w:rsidR="00AF1234" w:rsidRPr="00D03A86">
        <w:rPr>
          <w:szCs w:val="24"/>
        </w:rPr>
        <w:t>”</w:t>
      </w:r>
      <w:r w:rsidRPr="00D03A86">
        <w:rPr>
          <w:szCs w:val="24"/>
        </w:rPr>
        <w:t xml:space="preserve"> completed by </w:t>
      </w:r>
      <w:r w:rsidR="00C13609" w:rsidRPr="00D03A86">
        <w:rPr>
          <w:szCs w:val="24"/>
        </w:rPr>
        <w:t>the</w:t>
      </w:r>
      <w:r w:rsidRPr="00D03A86">
        <w:rPr>
          <w:szCs w:val="24"/>
        </w:rPr>
        <w:t xml:space="preserve"> specialised physician</w:t>
      </w:r>
      <w:r w:rsidR="00C13609" w:rsidRPr="00D03A86">
        <w:rPr>
          <w:szCs w:val="24"/>
        </w:rPr>
        <w:t xml:space="preserve"> treating the applicant</w:t>
      </w:r>
      <w:r w:rsidRPr="00D03A86">
        <w:rPr>
          <w:szCs w:val="24"/>
        </w:rPr>
        <w:t xml:space="preserve">, including information such as medical history, medical examinations, medical treatment, and so on. </w:t>
      </w:r>
      <w:r w:rsidR="00F9308D" w:rsidRPr="00D03A86">
        <w:rPr>
          <w:szCs w:val="24"/>
        </w:rPr>
        <w:t>If t</w:t>
      </w:r>
      <w:r w:rsidRPr="00D03A86">
        <w:rPr>
          <w:szCs w:val="24"/>
        </w:rPr>
        <w:t xml:space="preserve">he candidate </w:t>
      </w:r>
      <w:r w:rsidR="00F9308D" w:rsidRPr="00D03A86">
        <w:rPr>
          <w:szCs w:val="24"/>
        </w:rPr>
        <w:t>has</w:t>
      </w:r>
      <w:r w:rsidRPr="00D03A86">
        <w:rPr>
          <w:szCs w:val="24"/>
        </w:rPr>
        <w:t xml:space="preserve"> not bee</w:t>
      </w:r>
      <w:r w:rsidR="00233D7C" w:rsidRPr="00D03A86">
        <w:rPr>
          <w:szCs w:val="24"/>
        </w:rPr>
        <w:t>n r</w:t>
      </w:r>
      <w:r w:rsidR="003E2ED8" w:rsidRPr="00D03A86">
        <w:rPr>
          <w:szCs w:val="24"/>
        </w:rPr>
        <w:t xml:space="preserve">eferred to the Centre by </w:t>
      </w:r>
      <w:r w:rsidR="00147B0A" w:rsidRPr="00D03A86">
        <w:rPr>
          <w:szCs w:val="24"/>
        </w:rPr>
        <w:t xml:space="preserve">the </w:t>
      </w:r>
      <w:r w:rsidR="003E2ED8" w:rsidRPr="00D03A86">
        <w:rPr>
          <w:szCs w:val="24"/>
        </w:rPr>
        <w:lastRenderedPageBreak/>
        <w:t>relevant</w:t>
      </w:r>
      <w:r w:rsidR="00233D7C" w:rsidRPr="00D03A86">
        <w:rPr>
          <w:szCs w:val="24"/>
        </w:rPr>
        <w:t xml:space="preserve"> public services</w:t>
      </w:r>
      <w:r w:rsidR="00F9308D" w:rsidRPr="00D03A86">
        <w:rPr>
          <w:szCs w:val="24"/>
        </w:rPr>
        <w:t xml:space="preserve">, such as </w:t>
      </w:r>
      <w:r w:rsidR="00047C36" w:rsidRPr="00D03A86">
        <w:rPr>
          <w:szCs w:val="24"/>
        </w:rPr>
        <w:t xml:space="preserve">the </w:t>
      </w:r>
      <w:r w:rsidR="00F9308D" w:rsidRPr="00D03A86">
        <w:rPr>
          <w:szCs w:val="24"/>
        </w:rPr>
        <w:t>social security</w:t>
      </w:r>
      <w:r w:rsidR="00047C36" w:rsidRPr="00D03A86">
        <w:rPr>
          <w:szCs w:val="24"/>
        </w:rPr>
        <w:t xml:space="preserve"> agency</w:t>
      </w:r>
      <w:r w:rsidR="00B91D6B" w:rsidRPr="00D03A86">
        <w:rPr>
          <w:szCs w:val="24"/>
        </w:rPr>
        <w:t xml:space="preserve"> or welfare services</w:t>
      </w:r>
      <w:r w:rsidR="00233D7C" w:rsidRPr="00D03A86">
        <w:rPr>
          <w:szCs w:val="24"/>
        </w:rPr>
        <w:t xml:space="preserve">, </w:t>
      </w:r>
      <w:r w:rsidR="00F9308D" w:rsidRPr="00D03A86">
        <w:rPr>
          <w:szCs w:val="24"/>
        </w:rPr>
        <w:t xml:space="preserve">they </w:t>
      </w:r>
      <w:r w:rsidR="00233D7C" w:rsidRPr="00D03A86">
        <w:rPr>
          <w:szCs w:val="24"/>
        </w:rPr>
        <w:t>pay a fee of 46 euros.</w:t>
      </w:r>
      <w:r w:rsidR="00257C72" w:rsidRPr="00D03A86">
        <w:rPr>
          <w:szCs w:val="24"/>
        </w:rPr>
        <w:t xml:space="preserve"> Applications can also be submitted electronically. Candidates are informed of the date of assessment by telephone or email, while an SMS service is planned for 2018. </w:t>
      </w:r>
    </w:p>
    <w:p w14:paraId="364E8CE4" w14:textId="06C39D39" w:rsidR="00B939DB" w:rsidRPr="00D03A86" w:rsidRDefault="00B939DB" w:rsidP="00940136">
      <w:pPr>
        <w:spacing w:after="0" w:line="240" w:lineRule="auto"/>
        <w:jc w:val="both"/>
        <w:rPr>
          <w:szCs w:val="24"/>
        </w:rPr>
      </w:pPr>
    </w:p>
    <w:p w14:paraId="2E46FA09" w14:textId="0CAAC6AF" w:rsidR="00D24D71" w:rsidRPr="00D03A86" w:rsidRDefault="00B939DB" w:rsidP="00940136">
      <w:pPr>
        <w:spacing w:after="0" w:line="240" w:lineRule="auto"/>
        <w:jc w:val="both"/>
        <w:rPr>
          <w:szCs w:val="24"/>
        </w:rPr>
      </w:pPr>
      <w:r w:rsidRPr="00D03A86">
        <w:rPr>
          <w:szCs w:val="24"/>
        </w:rPr>
        <w:t xml:space="preserve">Assessments are carried out by </w:t>
      </w:r>
      <w:r w:rsidR="003E28B6" w:rsidRPr="00D03A86">
        <w:rPr>
          <w:szCs w:val="24"/>
        </w:rPr>
        <w:t>the KEPA health committee comprised of</w:t>
      </w:r>
      <w:r w:rsidR="00422C86" w:rsidRPr="00D03A86">
        <w:rPr>
          <w:szCs w:val="24"/>
        </w:rPr>
        <w:t xml:space="preserve"> three </w:t>
      </w:r>
      <w:r w:rsidR="00A50530" w:rsidRPr="00D03A86">
        <w:rPr>
          <w:szCs w:val="24"/>
        </w:rPr>
        <w:t xml:space="preserve">specialised insurance </w:t>
      </w:r>
      <w:r w:rsidR="00422C86" w:rsidRPr="00D03A86">
        <w:rPr>
          <w:szCs w:val="24"/>
        </w:rPr>
        <w:t>physicians</w:t>
      </w:r>
      <w:r w:rsidR="00A50530" w:rsidRPr="00D03A86">
        <w:rPr>
          <w:szCs w:val="24"/>
        </w:rPr>
        <w:t xml:space="preserve">, trained </w:t>
      </w:r>
      <w:r w:rsidR="00147B0A" w:rsidRPr="00D03A86">
        <w:rPr>
          <w:szCs w:val="24"/>
        </w:rPr>
        <w:t>i</w:t>
      </w:r>
      <w:r w:rsidR="00935542" w:rsidRPr="00D03A86">
        <w:rPr>
          <w:szCs w:val="24"/>
        </w:rPr>
        <w:t xml:space="preserve">n the specific disability assessment process </w:t>
      </w:r>
      <w:r w:rsidR="00A50530" w:rsidRPr="00D03A86">
        <w:rPr>
          <w:szCs w:val="24"/>
        </w:rPr>
        <w:t xml:space="preserve">and employed exclusively at the KEPA </w:t>
      </w:r>
      <w:r w:rsidR="00422C86" w:rsidRPr="00D03A86">
        <w:rPr>
          <w:szCs w:val="24"/>
        </w:rPr>
        <w:t>Special Body of Physicians of Disability Committees</w:t>
      </w:r>
      <w:r w:rsidR="001016DF" w:rsidRPr="00D03A86">
        <w:rPr>
          <w:szCs w:val="24"/>
        </w:rPr>
        <w:t xml:space="preserve"> (Pavli, 2017)</w:t>
      </w:r>
      <w:r w:rsidR="00526D4E" w:rsidRPr="00D03A86">
        <w:rPr>
          <w:szCs w:val="24"/>
        </w:rPr>
        <w:t>. The assessment takes place</w:t>
      </w:r>
      <w:r w:rsidR="00422C86" w:rsidRPr="00D03A86">
        <w:rPr>
          <w:szCs w:val="24"/>
        </w:rPr>
        <w:t xml:space="preserve"> either at KEPA </w:t>
      </w:r>
      <w:r w:rsidR="00126FF9" w:rsidRPr="00D03A86">
        <w:rPr>
          <w:szCs w:val="24"/>
        </w:rPr>
        <w:t xml:space="preserve">regional </w:t>
      </w:r>
      <w:r w:rsidR="00422C86" w:rsidRPr="00D03A86">
        <w:rPr>
          <w:szCs w:val="24"/>
        </w:rPr>
        <w:t>entry points, or at home/ hospital/ rehabilitation centre if it is indicated</w:t>
      </w:r>
      <w:r w:rsidR="00987304" w:rsidRPr="00D03A86">
        <w:rPr>
          <w:szCs w:val="24"/>
        </w:rPr>
        <w:t xml:space="preserve"> by the treating physician</w:t>
      </w:r>
      <w:r w:rsidR="00422C86" w:rsidRPr="00D03A86">
        <w:rPr>
          <w:szCs w:val="24"/>
        </w:rPr>
        <w:t xml:space="preserve"> that the candidate “</w:t>
      </w:r>
      <w:r w:rsidR="00482C26" w:rsidRPr="00D03A86">
        <w:rPr>
          <w:szCs w:val="24"/>
        </w:rPr>
        <w:t xml:space="preserve">is unable to move” </w:t>
      </w:r>
      <w:r w:rsidR="00422C86" w:rsidRPr="00D03A86">
        <w:rPr>
          <w:szCs w:val="24"/>
        </w:rPr>
        <w:t>to the place of assessment.</w:t>
      </w:r>
      <w:r w:rsidR="00D6093A" w:rsidRPr="00D03A86">
        <w:rPr>
          <w:szCs w:val="24"/>
        </w:rPr>
        <w:t xml:space="preserve"> </w:t>
      </w:r>
      <w:r w:rsidR="00D24D71" w:rsidRPr="00D03A86">
        <w:rPr>
          <w:szCs w:val="24"/>
        </w:rPr>
        <w:t>The outcome is communicated in the form of a certificate which includes information about the impairment and degree of disability assessed</w:t>
      </w:r>
      <w:r w:rsidR="00F666BE" w:rsidRPr="00D03A86">
        <w:rPr>
          <w:szCs w:val="24"/>
        </w:rPr>
        <w:t xml:space="preserve">, expressed as a percentage on the </w:t>
      </w:r>
      <w:proofErr w:type="spellStart"/>
      <w:r w:rsidR="00F666BE" w:rsidRPr="00D03A86">
        <w:rPr>
          <w:szCs w:val="24"/>
        </w:rPr>
        <w:t>Barema</w:t>
      </w:r>
      <w:proofErr w:type="spellEnd"/>
      <w:r w:rsidR="00F666BE" w:rsidRPr="00D03A86">
        <w:rPr>
          <w:szCs w:val="24"/>
        </w:rPr>
        <w:t xml:space="preserve"> Scale</w:t>
      </w:r>
      <w:r w:rsidR="00D24D71" w:rsidRPr="00D03A86">
        <w:rPr>
          <w:szCs w:val="24"/>
        </w:rPr>
        <w:t xml:space="preserve">, and the </w:t>
      </w:r>
      <w:r w:rsidR="00D6093A" w:rsidRPr="00D03A86">
        <w:rPr>
          <w:szCs w:val="24"/>
        </w:rPr>
        <w:t>date until which</w:t>
      </w:r>
      <w:r w:rsidR="00D24D71" w:rsidRPr="00D03A86">
        <w:rPr>
          <w:szCs w:val="24"/>
        </w:rPr>
        <w:t xml:space="preserve"> the certificate is</w:t>
      </w:r>
      <w:r w:rsidR="009F04D7" w:rsidRPr="00D03A86">
        <w:rPr>
          <w:szCs w:val="24"/>
        </w:rPr>
        <w:t xml:space="preserve"> valid. Candidates can appeal </w:t>
      </w:r>
      <w:r w:rsidR="007638E2" w:rsidRPr="00D03A86">
        <w:rPr>
          <w:szCs w:val="24"/>
        </w:rPr>
        <w:t>the decision within ten days of its announcement</w:t>
      </w:r>
      <w:r w:rsidR="004D3044" w:rsidRPr="00D03A86">
        <w:rPr>
          <w:szCs w:val="24"/>
        </w:rPr>
        <w:t xml:space="preserve"> (fee is charged)</w:t>
      </w:r>
      <w:r w:rsidR="007638E2" w:rsidRPr="00D03A86">
        <w:rPr>
          <w:szCs w:val="24"/>
        </w:rPr>
        <w:t xml:space="preserve">, </w:t>
      </w:r>
      <w:r w:rsidR="00925618" w:rsidRPr="00D03A86">
        <w:rPr>
          <w:szCs w:val="24"/>
        </w:rPr>
        <w:t>to be assessed by the</w:t>
      </w:r>
      <w:r w:rsidR="007638E2" w:rsidRPr="00D03A86">
        <w:rPr>
          <w:szCs w:val="24"/>
        </w:rPr>
        <w:t xml:space="preserve"> Secondary Health Committees</w:t>
      </w:r>
      <w:r w:rsidR="00925618" w:rsidRPr="00D03A86">
        <w:rPr>
          <w:szCs w:val="24"/>
        </w:rPr>
        <w:t>, the decision of which is final.</w:t>
      </w:r>
      <w:r w:rsidR="004D3044" w:rsidRPr="00D03A86">
        <w:rPr>
          <w:szCs w:val="24"/>
        </w:rPr>
        <w:t xml:space="preserve"> </w:t>
      </w:r>
      <w:r w:rsidR="00517EB3" w:rsidRPr="00D03A86">
        <w:rPr>
          <w:szCs w:val="24"/>
        </w:rPr>
        <w:t>Importantly, it is possible for candidates to apply for an extens</w:t>
      </w:r>
      <w:r w:rsidR="00CE2590" w:rsidRPr="00D03A86">
        <w:rPr>
          <w:szCs w:val="24"/>
        </w:rPr>
        <w:t>ion of a valid</w:t>
      </w:r>
      <w:r w:rsidR="00517EB3" w:rsidRPr="00D03A86">
        <w:rPr>
          <w:szCs w:val="24"/>
        </w:rPr>
        <w:t xml:space="preserve"> certificate to cover any possible provision gaps until reassessment. </w:t>
      </w:r>
    </w:p>
    <w:p w14:paraId="46943B94" w14:textId="39684FBB" w:rsidR="00DB4F98" w:rsidRPr="00D03A86" w:rsidRDefault="00DB4F98" w:rsidP="00940136">
      <w:pPr>
        <w:spacing w:after="0" w:line="240" w:lineRule="auto"/>
        <w:jc w:val="both"/>
        <w:rPr>
          <w:szCs w:val="24"/>
        </w:rPr>
      </w:pPr>
    </w:p>
    <w:p w14:paraId="71C7935F" w14:textId="21603E5C" w:rsidR="00DB4F98" w:rsidRPr="00D03A86" w:rsidRDefault="003E2ED8" w:rsidP="00940136">
      <w:pPr>
        <w:spacing w:after="0" w:line="240" w:lineRule="auto"/>
        <w:jc w:val="both"/>
        <w:rPr>
          <w:szCs w:val="24"/>
        </w:rPr>
      </w:pPr>
      <w:r w:rsidRPr="00D03A86">
        <w:rPr>
          <w:szCs w:val="24"/>
        </w:rPr>
        <w:t>Other than the official assessment protocol used (please see below), t</w:t>
      </w:r>
      <w:r w:rsidR="00DB4F98" w:rsidRPr="00D03A86">
        <w:rPr>
          <w:szCs w:val="24"/>
        </w:rPr>
        <w:t xml:space="preserve">here is no </w:t>
      </w:r>
      <w:r w:rsidRPr="00D03A86">
        <w:rPr>
          <w:szCs w:val="24"/>
        </w:rPr>
        <w:t>further</w:t>
      </w:r>
      <w:r w:rsidR="00DB4F98" w:rsidRPr="00D03A86">
        <w:rPr>
          <w:szCs w:val="24"/>
        </w:rPr>
        <w:t xml:space="preserve"> guida</w:t>
      </w:r>
      <w:r w:rsidRPr="00D03A86">
        <w:rPr>
          <w:szCs w:val="24"/>
        </w:rPr>
        <w:t>nce that is publicly available</w:t>
      </w:r>
      <w:r w:rsidR="00DB4F98" w:rsidRPr="00D03A86">
        <w:rPr>
          <w:szCs w:val="24"/>
        </w:rPr>
        <w:t xml:space="preserve"> about the actual assessment process,</w:t>
      </w:r>
      <w:r w:rsidRPr="00D03A86">
        <w:rPr>
          <w:szCs w:val="24"/>
        </w:rPr>
        <w:t xml:space="preserve"> to evidence</w:t>
      </w:r>
      <w:r w:rsidR="00DB4F98" w:rsidRPr="00D03A86">
        <w:rPr>
          <w:szCs w:val="24"/>
        </w:rPr>
        <w:t xml:space="preserve"> the </w:t>
      </w:r>
      <w:r w:rsidR="00D766D6" w:rsidRPr="00D03A86">
        <w:rPr>
          <w:szCs w:val="24"/>
        </w:rPr>
        <w:t>extent to which the candidate is ac</w:t>
      </w:r>
      <w:r w:rsidRPr="00D03A86">
        <w:rPr>
          <w:szCs w:val="24"/>
        </w:rPr>
        <w:t>tively involved in the process</w:t>
      </w:r>
      <w:r w:rsidR="00E2644F" w:rsidRPr="00D03A86">
        <w:rPr>
          <w:szCs w:val="24"/>
        </w:rPr>
        <w:t>, including for instance self-assessment of support needs</w:t>
      </w:r>
      <w:r w:rsidRPr="00D03A86">
        <w:rPr>
          <w:szCs w:val="24"/>
        </w:rPr>
        <w:t>. Coupled with t</w:t>
      </w:r>
      <w:r w:rsidR="00DB4F98" w:rsidRPr="00D03A86">
        <w:rPr>
          <w:szCs w:val="24"/>
        </w:rPr>
        <w:t xml:space="preserve">he </w:t>
      </w:r>
      <w:r w:rsidR="00D766D6" w:rsidRPr="00D03A86">
        <w:rPr>
          <w:szCs w:val="24"/>
        </w:rPr>
        <w:t>administrative arrangement</w:t>
      </w:r>
      <w:r w:rsidRPr="00D03A86">
        <w:rPr>
          <w:szCs w:val="24"/>
        </w:rPr>
        <w:t>s around the assessment, it rather indicates</w:t>
      </w:r>
      <w:r w:rsidR="006715B9" w:rsidRPr="00D03A86">
        <w:rPr>
          <w:szCs w:val="24"/>
        </w:rPr>
        <w:t xml:space="preserve"> that the</w:t>
      </w:r>
      <w:r w:rsidR="00E2644F" w:rsidRPr="00D03A86">
        <w:rPr>
          <w:szCs w:val="24"/>
        </w:rPr>
        <w:t xml:space="preserve"> face-to-face</w:t>
      </w:r>
      <w:r w:rsidR="006715B9" w:rsidRPr="00D03A86">
        <w:rPr>
          <w:szCs w:val="24"/>
        </w:rPr>
        <w:t xml:space="preserve"> </w:t>
      </w:r>
      <w:r w:rsidR="00D766D6" w:rsidRPr="00D03A86">
        <w:rPr>
          <w:szCs w:val="24"/>
        </w:rPr>
        <w:t xml:space="preserve">procedure is centred around reviewing and confirming </w:t>
      </w:r>
      <w:r w:rsidR="00E2644F" w:rsidRPr="00D03A86">
        <w:rPr>
          <w:szCs w:val="24"/>
        </w:rPr>
        <w:t xml:space="preserve">the previously submitted </w:t>
      </w:r>
      <w:r w:rsidR="00D766D6" w:rsidRPr="00D03A86">
        <w:rPr>
          <w:szCs w:val="24"/>
        </w:rPr>
        <w:t>medical evidence</w:t>
      </w:r>
      <w:r w:rsidR="00DB4F98" w:rsidRPr="00D03A86">
        <w:rPr>
          <w:szCs w:val="24"/>
        </w:rPr>
        <w:t xml:space="preserve">. </w:t>
      </w:r>
    </w:p>
    <w:p w14:paraId="4E934855" w14:textId="3CB4E95C" w:rsidR="00265AF9" w:rsidRPr="00D03A86" w:rsidRDefault="00265AF9" w:rsidP="00940136">
      <w:pPr>
        <w:spacing w:after="0" w:line="240" w:lineRule="auto"/>
        <w:jc w:val="both"/>
        <w:rPr>
          <w:szCs w:val="24"/>
        </w:rPr>
      </w:pPr>
    </w:p>
    <w:p w14:paraId="6A626F7F" w14:textId="77777777" w:rsidR="009D5872" w:rsidRPr="00D03A86" w:rsidRDefault="00C724DC" w:rsidP="00940136">
      <w:pPr>
        <w:pStyle w:val="Heading3"/>
        <w:spacing w:before="0" w:line="240" w:lineRule="auto"/>
        <w:jc w:val="both"/>
        <w:rPr>
          <w:szCs w:val="24"/>
        </w:rPr>
      </w:pPr>
      <w:r w:rsidRPr="00D03A86">
        <w:rPr>
          <w:szCs w:val="24"/>
        </w:rPr>
        <w:t>Sources of o</w:t>
      </w:r>
      <w:r w:rsidR="009D5872" w:rsidRPr="00D03A86">
        <w:rPr>
          <w:szCs w:val="24"/>
        </w:rPr>
        <w:t>fficial guidance and assessment protocols</w:t>
      </w:r>
    </w:p>
    <w:p w14:paraId="48EAB1F5" w14:textId="18AF1FEC" w:rsidR="00822488" w:rsidRPr="00D03A86" w:rsidRDefault="00822488" w:rsidP="00940136">
      <w:pPr>
        <w:spacing w:after="0" w:line="240" w:lineRule="auto"/>
        <w:jc w:val="both"/>
        <w:rPr>
          <w:szCs w:val="24"/>
        </w:rPr>
      </w:pPr>
    </w:p>
    <w:p w14:paraId="6B0046F3" w14:textId="77777777" w:rsidR="00673C5E" w:rsidRPr="00D03A86" w:rsidRDefault="00673C5E" w:rsidP="00673C5E">
      <w:pPr>
        <w:spacing w:after="0" w:line="240" w:lineRule="auto"/>
        <w:jc w:val="both"/>
        <w:rPr>
          <w:i/>
          <w:color w:val="4F81BD" w:themeColor="accent1"/>
        </w:rPr>
      </w:pPr>
      <w:bookmarkStart w:id="4" w:name="_Hlk524097076"/>
      <w:r w:rsidRPr="00D03A86">
        <w:rPr>
          <w:i/>
          <w:color w:val="4F81BD" w:themeColor="accent1"/>
        </w:rPr>
        <w:t>Details of the guidance provided to assessors, methodology used, questionnaires, assessment scales, pro-forma used in the process, etc, with links to sources where available.</w:t>
      </w:r>
    </w:p>
    <w:bookmarkEnd w:id="4"/>
    <w:p w14:paraId="116857E3" w14:textId="77777777" w:rsidR="00673C5E" w:rsidRPr="00D03A86" w:rsidRDefault="00673C5E" w:rsidP="00940136">
      <w:pPr>
        <w:spacing w:after="0" w:line="240" w:lineRule="auto"/>
        <w:jc w:val="both"/>
        <w:rPr>
          <w:szCs w:val="24"/>
        </w:rPr>
      </w:pPr>
    </w:p>
    <w:p w14:paraId="1A4E7EF6" w14:textId="2F2E45F2" w:rsidR="00603567" w:rsidRPr="00D03A86" w:rsidRDefault="00603567" w:rsidP="00940136">
      <w:pPr>
        <w:spacing w:after="0" w:line="240" w:lineRule="auto"/>
        <w:jc w:val="both"/>
        <w:rPr>
          <w:szCs w:val="24"/>
        </w:rPr>
      </w:pPr>
      <w:r w:rsidRPr="00D03A86">
        <w:rPr>
          <w:szCs w:val="24"/>
        </w:rPr>
        <w:t xml:space="preserve">Disability assessment is </w:t>
      </w:r>
      <w:r w:rsidR="006715B9" w:rsidRPr="00D03A86">
        <w:rPr>
          <w:szCs w:val="24"/>
        </w:rPr>
        <w:t xml:space="preserve">carried out according to the Single Table </w:t>
      </w:r>
      <w:r w:rsidR="004B6F02" w:rsidRPr="00D03A86">
        <w:rPr>
          <w:szCs w:val="24"/>
        </w:rPr>
        <w:t>of</w:t>
      </w:r>
      <w:r w:rsidR="006715B9" w:rsidRPr="00D03A86">
        <w:rPr>
          <w:szCs w:val="24"/>
        </w:rPr>
        <w:t xml:space="preserve"> Disability Percentage</w:t>
      </w:r>
      <w:r w:rsidR="004B6F02" w:rsidRPr="00D03A86">
        <w:rPr>
          <w:szCs w:val="24"/>
        </w:rPr>
        <w:t xml:space="preserve"> Determination</w:t>
      </w:r>
      <w:r w:rsidR="006715B9" w:rsidRPr="00D03A86">
        <w:rPr>
          <w:szCs w:val="24"/>
        </w:rPr>
        <w:t xml:space="preserve">, which has been modified twice </w:t>
      </w:r>
      <w:r w:rsidRPr="00D03A86">
        <w:rPr>
          <w:szCs w:val="24"/>
        </w:rPr>
        <w:t>(2012</w:t>
      </w:r>
      <w:r w:rsidR="008C16E8" w:rsidRPr="00D03A86">
        <w:rPr>
          <w:szCs w:val="24"/>
        </w:rPr>
        <w:t>,</w:t>
      </w:r>
      <w:r w:rsidR="00F36331" w:rsidRPr="00D03A86">
        <w:rPr>
          <w:rStyle w:val="FootnoteReference"/>
          <w:szCs w:val="24"/>
        </w:rPr>
        <w:footnoteReference w:id="5"/>
      </w:r>
      <w:r w:rsidRPr="00D03A86">
        <w:rPr>
          <w:szCs w:val="24"/>
        </w:rPr>
        <w:t xml:space="preserve"> 2017</w:t>
      </w:r>
      <w:r w:rsidR="008C16E8" w:rsidRPr="00D03A86">
        <w:rPr>
          <w:szCs w:val="24"/>
        </w:rPr>
        <w:t>)</w:t>
      </w:r>
      <w:r w:rsidR="00F36331" w:rsidRPr="00D03A86">
        <w:rPr>
          <w:rStyle w:val="FootnoteReference"/>
          <w:szCs w:val="24"/>
        </w:rPr>
        <w:footnoteReference w:id="6"/>
      </w:r>
      <w:r w:rsidRPr="00D03A86">
        <w:rPr>
          <w:szCs w:val="24"/>
        </w:rPr>
        <w:t xml:space="preserve"> </w:t>
      </w:r>
      <w:r w:rsidR="006715B9" w:rsidRPr="00D03A86">
        <w:rPr>
          <w:szCs w:val="24"/>
        </w:rPr>
        <w:t>since it was first established in 2011</w:t>
      </w:r>
      <w:r w:rsidR="008C16E8" w:rsidRPr="00D03A86">
        <w:rPr>
          <w:szCs w:val="24"/>
        </w:rPr>
        <w:t>.</w:t>
      </w:r>
      <w:r w:rsidR="006715B9" w:rsidRPr="00D03A86">
        <w:rPr>
          <w:rStyle w:val="FootnoteReference"/>
          <w:szCs w:val="24"/>
        </w:rPr>
        <w:footnoteReference w:id="7"/>
      </w:r>
      <w:r w:rsidR="00A03DBE" w:rsidRPr="00D03A86">
        <w:rPr>
          <w:szCs w:val="24"/>
        </w:rPr>
        <w:t xml:space="preserve"> </w:t>
      </w:r>
      <w:r w:rsidR="00147B0A" w:rsidRPr="00D03A86">
        <w:rPr>
          <w:szCs w:val="24"/>
        </w:rPr>
        <w:t xml:space="preserve">In 2011 </w:t>
      </w:r>
      <w:r w:rsidR="00A03DBE" w:rsidRPr="00D03A86">
        <w:rPr>
          <w:szCs w:val="24"/>
        </w:rPr>
        <w:t>it replaced the Regulation</w:t>
      </w:r>
      <w:r w:rsidR="0084270E" w:rsidRPr="00D03A86">
        <w:rPr>
          <w:szCs w:val="24"/>
        </w:rPr>
        <w:t xml:space="preserve"> for Disability Assessment</w:t>
      </w:r>
      <w:r w:rsidR="007A214B" w:rsidRPr="00D03A86">
        <w:rPr>
          <w:rStyle w:val="FootnoteReference"/>
          <w:szCs w:val="24"/>
        </w:rPr>
        <w:footnoteReference w:id="8"/>
      </w:r>
      <w:r w:rsidR="0084270E" w:rsidRPr="00D03A86">
        <w:rPr>
          <w:szCs w:val="24"/>
        </w:rPr>
        <w:t xml:space="preserve"> used by</w:t>
      </w:r>
      <w:r w:rsidR="00A03DBE" w:rsidRPr="00D03A86">
        <w:rPr>
          <w:szCs w:val="24"/>
        </w:rPr>
        <w:t xml:space="preserve"> the</w:t>
      </w:r>
      <w:r w:rsidR="007A214B" w:rsidRPr="00D03A86">
        <w:rPr>
          <w:szCs w:val="24"/>
        </w:rPr>
        <w:t xml:space="preserve"> </w:t>
      </w:r>
      <w:r w:rsidR="0084270E" w:rsidRPr="00D03A86">
        <w:rPr>
          <w:szCs w:val="24"/>
        </w:rPr>
        <w:t>social security body</w:t>
      </w:r>
      <w:r w:rsidR="007A214B" w:rsidRPr="00D03A86">
        <w:rPr>
          <w:szCs w:val="24"/>
        </w:rPr>
        <w:t xml:space="preserve"> for the employed in the private sector</w:t>
      </w:r>
      <w:r w:rsidR="0084270E" w:rsidRPr="00D03A86">
        <w:rPr>
          <w:szCs w:val="24"/>
        </w:rPr>
        <w:t xml:space="preserve"> </w:t>
      </w:r>
      <w:r w:rsidR="00A03DBE" w:rsidRPr="00D03A86">
        <w:rPr>
          <w:szCs w:val="24"/>
        </w:rPr>
        <w:t>since 1993</w:t>
      </w:r>
      <w:r w:rsidR="005B151A" w:rsidRPr="00D03A86">
        <w:rPr>
          <w:szCs w:val="24"/>
        </w:rPr>
        <w:t>, which similarly used</w:t>
      </w:r>
      <w:r w:rsidR="0084270E" w:rsidRPr="00D03A86">
        <w:rPr>
          <w:szCs w:val="24"/>
        </w:rPr>
        <w:t xml:space="preserve"> the </w:t>
      </w:r>
      <w:proofErr w:type="spellStart"/>
      <w:r w:rsidR="0084270E" w:rsidRPr="00D03A86">
        <w:rPr>
          <w:szCs w:val="24"/>
        </w:rPr>
        <w:t>Barema</w:t>
      </w:r>
      <w:proofErr w:type="spellEnd"/>
      <w:r w:rsidR="0084270E" w:rsidRPr="00D03A86">
        <w:rPr>
          <w:szCs w:val="24"/>
        </w:rPr>
        <w:t xml:space="preserve"> </w:t>
      </w:r>
      <w:r w:rsidR="00370F43" w:rsidRPr="00D03A86">
        <w:rPr>
          <w:szCs w:val="24"/>
        </w:rPr>
        <w:t>scale. This method of disability assessment has been</w:t>
      </w:r>
      <w:r w:rsidR="005B151A" w:rsidRPr="00D03A86">
        <w:rPr>
          <w:szCs w:val="24"/>
        </w:rPr>
        <w:t xml:space="preserve"> maintained up until today, </w:t>
      </w:r>
      <w:r w:rsidR="001909EE" w:rsidRPr="00D03A86">
        <w:rPr>
          <w:szCs w:val="24"/>
        </w:rPr>
        <w:t>although</w:t>
      </w:r>
      <w:r w:rsidR="005B151A" w:rsidRPr="00D03A86">
        <w:rPr>
          <w:szCs w:val="24"/>
        </w:rPr>
        <w:t xml:space="preserve"> percentages attributed to impairments </w:t>
      </w:r>
      <w:r w:rsidR="001909EE" w:rsidRPr="00D03A86">
        <w:rPr>
          <w:szCs w:val="24"/>
        </w:rPr>
        <w:t xml:space="preserve">have </w:t>
      </w:r>
      <w:r w:rsidR="00EC28A6" w:rsidRPr="00D03A86">
        <w:rPr>
          <w:szCs w:val="24"/>
        </w:rPr>
        <w:t>altered periodically</w:t>
      </w:r>
      <w:r w:rsidR="0084270E" w:rsidRPr="00D03A86">
        <w:rPr>
          <w:szCs w:val="24"/>
        </w:rPr>
        <w:t>.</w:t>
      </w:r>
      <w:r w:rsidRPr="00D03A86">
        <w:rPr>
          <w:szCs w:val="24"/>
        </w:rPr>
        <w:t xml:space="preserve"> </w:t>
      </w:r>
      <w:r w:rsidR="00BF0604" w:rsidRPr="00D03A86">
        <w:rPr>
          <w:szCs w:val="24"/>
        </w:rPr>
        <w:t xml:space="preserve">In the updated </w:t>
      </w:r>
      <w:r w:rsidR="00FD0E12" w:rsidRPr="00D03A86">
        <w:rPr>
          <w:szCs w:val="24"/>
        </w:rPr>
        <w:t>Single Table of Disability Percentage Determination (2017)</w:t>
      </w:r>
      <w:r w:rsidR="00BF0604" w:rsidRPr="00D03A86">
        <w:rPr>
          <w:szCs w:val="24"/>
        </w:rPr>
        <w:t>, t</w:t>
      </w:r>
      <w:r w:rsidR="009307F8" w:rsidRPr="00D03A86">
        <w:rPr>
          <w:szCs w:val="24"/>
        </w:rPr>
        <w:t xml:space="preserve">he conditions and impairments assessed are grouped under </w:t>
      </w:r>
      <w:r w:rsidR="00FD0E12" w:rsidRPr="00D03A86">
        <w:rPr>
          <w:szCs w:val="24"/>
        </w:rPr>
        <w:t>the following (</w:t>
      </w:r>
      <w:r w:rsidR="009307F8" w:rsidRPr="00D03A86">
        <w:rPr>
          <w:szCs w:val="24"/>
        </w:rPr>
        <w:t>19</w:t>
      </w:r>
      <w:r w:rsidR="00FD0E12" w:rsidRPr="00D03A86">
        <w:rPr>
          <w:szCs w:val="24"/>
        </w:rPr>
        <w:t>)</w:t>
      </w:r>
      <w:r w:rsidR="009307F8" w:rsidRPr="00D03A86">
        <w:rPr>
          <w:szCs w:val="24"/>
        </w:rPr>
        <w:t xml:space="preserve"> chapters:</w:t>
      </w:r>
    </w:p>
    <w:p w14:paraId="27795BF0" w14:textId="415754ED" w:rsidR="00173FA2" w:rsidRPr="00D03A86" w:rsidRDefault="00072905" w:rsidP="00940136">
      <w:pPr>
        <w:spacing w:after="0" w:line="240" w:lineRule="auto"/>
        <w:jc w:val="both"/>
        <w:rPr>
          <w:szCs w:val="24"/>
        </w:rPr>
      </w:pPr>
      <w:r w:rsidRPr="00D03A86">
        <w:rPr>
          <w:szCs w:val="24"/>
        </w:rPr>
        <w:lastRenderedPageBreak/>
        <w:t>Chapter 1</w:t>
      </w:r>
      <w:r w:rsidR="00173FA2" w:rsidRPr="00D03A86">
        <w:rPr>
          <w:szCs w:val="24"/>
        </w:rPr>
        <w:t>: Blood Disorders</w:t>
      </w:r>
    </w:p>
    <w:p w14:paraId="77804F8A" w14:textId="313B6801" w:rsidR="00173FA2" w:rsidRPr="00D03A86" w:rsidRDefault="00173FA2" w:rsidP="00940136">
      <w:pPr>
        <w:spacing w:after="0" w:line="240" w:lineRule="auto"/>
        <w:jc w:val="both"/>
        <w:rPr>
          <w:szCs w:val="24"/>
        </w:rPr>
      </w:pPr>
      <w:r w:rsidRPr="00D03A86">
        <w:rPr>
          <w:szCs w:val="24"/>
        </w:rPr>
        <w:t xml:space="preserve">Chapter </w:t>
      </w:r>
      <w:r w:rsidR="00072905" w:rsidRPr="00D03A86">
        <w:rPr>
          <w:szCs w:val="24"/>
        </w:rPr>
        <w:t>2</w:t>
      </w:r>
      <w:r w:rsidRPr="00D03A86">
        <w:rPr>
          <w:szCs w:val="24"/>
        </w:rPr>
        <w:t>: Immunodeficiency Disorders</w:t>
      </w:r>
    </w:p>
    <w:p w14:paraId="3ED10AF5" w14:textId="4B091AE3" w:rsidR="00173FA2" w:rsidRPr="00D03A86" w:rsidRDefault="00173FA2" w:rsidP="00940136">
      <w:pPr>
        <w:spacing w:after="0" w:line="240" w:lineRule="auto"/>
        <w:jc w:val="both"/>
        <w:rPr>
          <w:szCs w:val="24"/>
        </w:rPr>
      </w:pPr>
      <w:r w:rsidRPr="00D03A86">
        <w:rPr>
          <w:szCs w:val="24"/>
        </w:rPr>
        <w:t xml:space="preserve">Chapter </w:t>
      </w:r>
      <w:r w:rsidR="00072905" w:rsidRPr="00D03A86">
        <w:rPr>
          <w:szCs w:val="24"/>
        </w:rPr>
        <w:t>3</w:t>
      </w:r>
      <w:r w:rsidR="005C7BA3" w:rsidRPr="00D03A86">
        <w:rPr>
          <w:szCs w:val="24"/>
        </w:rPr>
        <w:t>: Infectious diseases</w:t>
      </w:r>
      <w:r w:rsidR="005C7BA3" w:rsidRPr="00D03A86">
        <w:rPr>
          <w:rStyle w:val="FootnoteReference"/>
          <w:szCs w:val="24"/>
        </w:rPr>
        <w:footnoteReference w:id="9"/>
      </w:r>
      <w:r w:rsidR="005C7BA3" w:rsidRPr="00D03A86">
        <w:rPr>
          <w:szCs w:val="24"/>
        </w:rPr>
        <w:t xml:space="preserve"> </w:t>
      </w:r>
    </w:p>
    <w:p w14:paraId="5F16A695" w14:textId="70D871B1" w:rsidR="00030F47" w:rsidRPr="00D03A86" w:rsidRDefault="00030F47" w:rsidP="00940136">
      <w:pPr>
        <w:spacing w:after="0" w:line="240" w:lineRule="auto"/>
        <w:jc w:val="both"/>
        <w:rPr>
          <w:szCs w:val="24"/>
        </w:rPr>
      </w:pPr>
      <w:r w:rsidRPr="00D03A86">
        <w:rPr>
          <w:szCs w:val="24"/>
        </w:rPr>
        <w:t xml:space="preserve">Chapter </w:t>
      </w:r>
      <w:r w:rsidR="00072905" w:rsidRPr="00D03A86">
        <w:rPr>
          <w:szCs w:val="24"/>
        </w:rPr>
        <w:t>4</w:t>
      </w:r>
      <w:r w:rsidRPr="00D03A86">
        <w:rPr>
          <w:szCs w:val="24"/>
        </w:rPr>
        <w:t>:</w:t>
      </w:r>
      <w:r w:rsidR="003927E6" w:rsidRPr="00D03A86">
        <w:rPr>
          <w:szCs w:val="24"/>
        </w:rPr>
        <w:t xml:space="preserve"> Endocrine System Disorders</w:t>
      </w:r>
      <w:r w:rsidRPr="00D03A86">
        <w:rPr>
          <w:szCs w:val="24"/>
        </w:rPr>
        <w:t xml:space="preserve"> </w:t>
      </w:r>
    </w:p>
    <w:p w14:paraId="07E23299" w14:textId="64C3CD38" w:rsidR="00030F47" w:rsidRPr="00D03A86" w:rsidRDefault="00030F47" w:rsidP="00940136">
      <w:pPr>
        <w:spacing w:after="0" w:line="240" w:lineRule="auto"/>
        <w:jc w:val="both"/>
        <w:rPr>
          <w:szCs w:val="24"/>
        </w:rPr>
      </w:pPr>
      <w:r w:rsidRPr="00D03A86">
        <w:rPr>
          <w:szCs w:val="24"/>
        </w:rPr>
        <w:t xml:space="preserve">Chapter </w:t>
      </w:r>
      <w:r w:rsidR="00072905" w:rsidRPr="00D03A86">
        <w:rPr>
          <w:szCs w:val="24"/>
        </w:rPr>
        <w:t>5</w:t>
      </w:r>
      <w:r w:rsidRPr="00D03A86">
        <w:rPr>
          <w:szCs w:val="24"/>
        </w:rPr>
        <w:t>: Respiratory System Disorders</w:t>
      </w:r>
    </w:p>
    <w:p w14:paraId="2D0D5E1C" w14:textId="2CC8A880" w:rsidR="00030F47" w:rsidRPr="00D03A86" w:rsidRDefault="00030F47" w:rsidP="00940136">
      <w:pPr>
        <w:spacing w:after="0" w:line="240" w:lineRule="auto"/>
        <w:jc w:val="both"/>
        <w:rPr>
          <w:szCs w:val="24"/>
        </w:rPr>
      </w:pPr>
      <w:r w:rsidRPr="00D03A86">
        <w:rPr>
          <w:szCs w:val="24"/>
        </w:rPr>
        <w:t xml:space="preserve">Chapter </w:t>
      </w:r>
      <w:r w:rsidR="00072905" w:rsidRPr="00D03A86">
        <w:rPr>
          <w:szCs w:val="24"/>
        </w:rPr>
        <w:t>6</w:t>
      </w:r>
      <w:r w:rsidRPr="00D03A86">
        <w:rPr>
          <w:szCs w:val="24"/>
        </w:rPr>
        <w:t>: Blood Circulation System Disorders</w:t>
      </w:r>
    </w:p>
    <w:p w14:paraId="01216F0D" w14:textId="680B4AAA" w:rsidR="00030F47" w:rsidRPr="00D03A86" w:rsidRDefault="00030F47" w:rsidP="00940136">
      <w:pPr>
        <w:spacing w:after="0" w:line="240" w:lineRule="auto"/>
        <w:jc w:val="both"/>
        <w:rPr>
          <w:szCs w:val="24"/>
        </w:rPr>
      </w:pPr>
      <w:r w:rsidRPr="00D03A86">
        <w:rPr>
          <w:szCs w:val="24"/>
        </w:rPr>
        <w:t xml:space="preserve">Chapter </w:t>
      </w:r>
      <w:r w:rsidR="00072905" w:rsidRPr="00D03A86">
        <w:rPr>
          <w:szCs w:val="24"/>
        </w:rPr>
        <w:t>7</w:t>
      </w:r>
      <w:r w:rsidRPr="00D03A86">
        <w:rPr>
          <w:szCs w:val="24"/>
        </w:rPr>
        <w:t>: Digestive System Disorders</w:t>
      </w:r>
    </w:p>
    <w:p w14:paraId="267BA0FF" w14:textId="3819F2FD" w:rsidR="00030F47" w:rsidRPr="00D03A86" w:rsidRDefault="00030F47" w:rsidP="00940136">
      <w:pPr>
        <w:spacing w:after="0" w:line="240" w:lineRule="auto"/>
        <w:jc w:val="both"/>
        <w:rPr>
          <w:szCs w:val="24"/>
        </w:rPr>
      </w:pPr>
      <w:r w:rsidRPr="00D03A86">
        <w:rPr>
          <w:szCs w:val="24"/>
        </w:rPr>
        <w:t xml:space="preserve">Chapter </w:t>
      </w:r>
      <w:r w:rsidR="00072905" w:rsidRPr="00D03A86">
        <w:rPr>
          <w:szCs w:val="24"/>
        </w:rPr>
        <w:t>8</w:t>
      </w:r>
      <w:r w:rsidR="00A426E1" w:rsidRPr="00D03A86">
        <w:rPr>
          <w:szCs w:val="24"/>
        </w:rPr>
        <w:t>:</w:t>
      </w:r>
      <w:r w:rsidR="004A10EC" w:rsidRPr="00D03A86">
        <w:rPr>
          <w:szCs w:val="24"/>
        </w:rPr>
        <w:t xml:space="preserve"> Female Genital Disorders and Gender Disorders</w:t>
      </w:r>
    </w:p>
    <w:p w14:paraId="2695BBA5" w14:textId="01F3084D" w:rsidR="00030F47" w:rsidRPr="00D03A86" w:rsidRDefault="00030F47" w:rsidP="00940136">
      <w:pPr>
        <w:spacing w:after="0" w:line="240" w:lineRule="auto"/>
        <w:jc w:val="both"/>
        <w:rPr>
          <w:szCs w:val="24"/>
        </w:rPr>
      </w:pPr>
      <w:r w:rsidRPr="00D03A86">
        <w:rPr>
          <w:szCs w:val="24"/>
        </w:rPr>
        <w:t xml:space="preserve">Chapter </w:t>
      </w:r>
      <w:r w:rsidR="00072905" w:rsidRPr="00D03A86">
        <w:rPr>
          <w:szCs w:val="24"/>
        </w:rPr>
        <w:t>9</w:t>
      </w:r>
      <w:r w:rsidRPr="00D03A86">
        <w:rPr>
          <w:szCs w:val="24"/>
        </w:rPr>
        <w:t>: Metabolic Disorders</w:t>
      </w:r>
    </w:p>
    <w:p w14:paraId="02FE51C9" w14:textId="5819BE51" w:rsidR="00143A0B" w:rsidRPr="00D03A86" w:rsidRDefault="00143A0B" w:rsidP="00940136">
      <w:pPr>
        <w:spacing w:after="0" w:line="240" w:lineRule="auto"/>
        <w:jc w:val="both"/>
        <w:rPr>
          <w:szCs w:val="24"/>
        </w:rPr>
      </w:pPr>
      <w:r w:rsidRPr="00D03A86">
        <w:rPr>
          <w:szCs w:val="24"/>
        </w:rPr>
        <w:t xml:space="preserve">Chapter </w:t>
      </w:r>
      <w:r w:rsidR="00072905" w:rsidRPr="00D03A86">
        <w:rPr>
          <w:szCs w:val="24"/>
        </w:rPr>
        <w:t>10</w:t>
      </w:r>
      <w:r w:rsidRPr="00D03A86">
        <w:rPr>
          <w:szCs w:val="24"/>
        </w:rPr>
        <w:t>: Dermatological Disorders</w:t>
      </w:r>
    </w:p>
    <w:p w14:paraId="275CDDA9" w14:textId="733782EE" w:rsidR="00143A0B" w:rsidRPr="00D03A86" w:rsidRDefault="009307F8" w:rsidP="00940136">
      <w:pPr>
        <w:spacing w:after="0" w:line="240" w:lineRule="auto"/>
        <w:jc w:val="both"/>
        <w:rPr>
          <w:szCs w:val="24"/>
        </w:rPr>
      </w:pPr>
      <w:r w:rsidRPr="00D03A86">
        <w:rPr>
          <w:szCs w:val="24"/>
        </w:rPr>
        <w:t>Cha</w:t>
      </w:r>
      <w:r w:rsidR="00143A0B" w:rsidRPr="00D03A86">
        <w:rPr>
          <w:szCs w:val="24"/>
        </w:rPr>
        <w:t xml:space="preserve">pter </w:t>
      </w:r>
      <w:r w:rsidR="00072905" w:rsidRPr="00D03A86">
        <w:rPr>
          <w:szCs w:val="24"/>
        </w:rPr>
        <w:t>11</w:t>
      </w:r>
      <w:r w:rsidR="00143A0B" w:rsidRPr="00D03A86">
        <w:rPr>
          <w:szCs w:val="24"/>
        </w:rPr>
        <w:t>: Mental Health Disorders</w:t>
      </w:r>
    </w:p>
    <w:p w14:paraId="63A7318A" w14:textId="27CC0345" w:rsidR="00143A0B" w:rsidRPr="00D03A86" w:rsidRDefault="00143A0B" w:rsidP="00940136">
      <w:pPr>
        <w:spacing w:after="0" w:line="240" w:lineRule="auto"/>
        <w:jc w:val="both"/>
        <w:rPr>
          <w:szCs w:val="24"/>
        </w:rPr>
      </w:pPr>
      <w:r w:rsidRPr="00D03A86">
        <w:rPr>
          <w:szCs w:val="24"/>
        </w:rPr>
        <w:t xml:space="preserve">Chapter </w:t>
      </w:r>
      <w:r w:rsidR="00072905" w:rsidRPr="00D03A86">
        <w:rPr>
          <w:szCs w:val="24"/>
        </w:rPr>
        <w:t>12</w:t>
      </w:r>
      <w:r w:rsidRPr="00D03A86">
        <w:rPr>
          <w:szCs w:val="24"/>
        </w:rPr>
        <w:t>: Nervous System Disorders</w:t>
      </w:r>
    </w:p>
    <w:p w14:paraId="0FEB0286" w14:textId="53C7593A" w:rsidR="009307F8" w:rsidRPr="00D03A86" w:rsidRDefault="009307F8" w:rsidP="00940136">
      <w:pPr>
        <w:spacing w:after="0" w:line="240" w:lineRule="auto"/>
        <w:jc w:val="both"/>
        <w:rPr>
          <w:szCs w:val="24"/>
        </w:rPr>
      </w:pPr>
      <w:r w:rsidRPr="00D03A86">
        <w:rPr>
          <w:szCs w:val="24"/>
        </w:rPr>
        <w:t xml:space="preserve">Chapter </w:t>
      </w:r>
      <w:r w:rsidR="00072905" w:rsidRPr="00D03A86">
        <w:rPr>
          <w:szCs w:val="24"/>
        </w:rPr>
        <w:t>13</w:t>
      </w:r>
      <w:r w:rsidRPr="00D03A86">
        <w:rPr>
          <w:szCs w:val="24"/>
        </w:rPr>
        <w:t xml:space="preserve">: </w:t>
      </w:r>
      <w:r w:rsidR="00DC5DEA" w:rsidRPr="00D03A86">
        <w:rPr>
          <w:szCs w:val="24"/>
        </w:rPr>
        <w:t>Orthopaedic</w:t>
      </w:r>
      <w:r w:rsidRPr="00D03A86">
        <w:rPr>
          <w:szCs w:val="24"/>
        </w:rPr>
        <w:t xml:space="preserve"> Disorders</w:t>
      </w:r>
    </w:p>
    <w:p w14:paraId="2C745F3A" w14:textId="5DEF909D" w:rsidR="009307F8" w:rsidRPr="00D03A86" w:rsidRDefault="009307F8" w:rsidP="00940136">
      <w:pPr>
        <w:spacing w:after="0" w:line="240" w:lineRule="auto"/>
        <w:jc w:val="both"/>
        <w:rPr>
          <w:szCs w:val="24"/>
        </w:rPr>
      </w:pPr>
      <w:r w:rsidRPr="00D03A86">
        <w:rPr>
          <w:szCs w:val="24"/>
        </w:rPr>
        <w:t xml:space="preserve">Chapter </w:t>
      </w:r>
      <w:r w:rsidR="00072905" w:rsidRPr="00D03A86">
        <w:rPr>
          <w:szCs w:val="24"/>
        </w:rPr>
        <w:t>14</w:t>
      </w:r>
      <w:r w:rsidR="00DC5DEA" w:rsidRPr="00D03A86">
        <w:rPr>
          <w:szCs w:val="24"/>
        </w:rPr>
        <w:t>:</w:t>
      </w:r>
      <w:r w:rsidR="004D2416" w:rsidRPr="00D03A86">
        <w:rPr>
          <w:szCs w:val="24"/>
        </w:rPr>
        <w:t xml:space="preserve"> Ears, Nose and Throat Disorders</w:t>
      </w:r>
    </w:p>
    <w:p w14:paraId="2107C5B5" w14:textId="1CC14D20" w:rsidR="00072905" w:rsidRPr="00D03A86" w:rsidRDefault="00072905" w:rsidP="00940136">
      <w:pPr>
        <w:spacing w:after="0" w:line="240" w:lineRule="auto"/>
        <w:jc w:val="both"/>
        <w:rPr>
          <w:szCs w:val="24"/>
        </w:rPr>
      </w:pPr>
      <w:r w:rsidRPr="00D03A86">
        <w:rPr>
          <w:szCs w:val="24"/>
        </w:rPr>
        <w:t>Chapter 15:</w:t>
      </w:r>
      <w:r w:rsidR="003E59D6" w:rsidRPr="00D03A86">
        <w:rPr>
          <w:szCs w:val="24"/>
        </w:rPr>
        <w:t xml:space="preserve"> Surgical Disorders</w:t>
      </w:r>
    </w:p>
    <w:p w14:paraId="3EB872EE" w14:textId="4DF3EE90" w:rsidR="003E59D6" w:rsidRPr="00D03A86" w:rsidRDefault="003E59D6" w:rsidP="00940136">
      <w:pPr>
        <w:spacing w:after="0" w:line="240" w:lineRule="auto"/>
        <w:jc w:val="both"/>
        <w:rPr>
          <w:szCs w:val="24"/>
        </w:rPr>
      </w:pPr>
      <w:r w:rsidRPr="00D03A86">
        <w:rPr>
          <w:szCs w:val="24"/>
        </w:rPr>
        <w:t>Chapter 16: Surgical Disorders of the Urinary System</w:t>
      </w:r>
    </w:p>
    <w:p w14:paraId="2213F696" w14:textId="3679D778" w:rsidR="003E59D6" w:rsidRPr="00D03A86" w:rsidRDefault="003E59D6" w:rsidP="00940136">
      <w:pPr>
        <w:spacing w:after="0" w:line="240" w:lineRule="auto"/>
        <w:jc w:val="both"/>
        <w:rPr>
          <w:szCs w:val="24"/>
        </w:rPr>
      </w:pPr>
      <w:r w:rsidRPr="00D03A86">
        <w:rPr>
          <w:szCs w:val="24"/>
        </w:rPr>
        <w:t>Chapter 17: Eye Disorders</w:t>
      </w:r>
    </w:p>
    <w:p w14:paraId="7B4BFA78" w14:textId="6622F2EA" w:rsidR="003E59D6" w:rsidRPr="00D03A86" w:rsidRDefault="003E59D6" w:rsidP="00940136">
      <w:pPr>
        <w:spacing w:after="0" w:line="240" w:lineRule="auto"/>
        <w:jc w:val="both"/>
        <w:rPr>
          <w:szCs w:val="24"/>
        </w:rPr>
      </w:pPr>
      <w:r w:rsidRPr="00D03A86">
        <w:rPr>
          <w:szCs w:val="24"/>
        </w:rPr>
        <w:t>Chapter 18: Rheumatic Disorders</w:t>
      </w:r>
    </w:p>
    <w:p w14:paraId="65CDDB70" w14:textId="7227AA5B" w:rsidR="003E59D6" w:rsidRPr="00D03A86" w:rsidRDefault="003E59D6" w:rsidP="00940136">
      <w:pPr>
        <w:spacing w:after="0" w:line="240" w:lineRule="auto"/>
        <w:jc w:val="both"/>
        <w:rPr>
          <w:szCs w:val="24"/>
        </w:rPr>
      </w:pPr>
      <w:r w:rsidRPr="00D03A86">
        <w:rPr>
          <w:szCs w:val="24"/>
        </w:rPr>
        <w:t>Chapter 19: Nephrology Disorders</w:t>
      </w:r>
    </w:p>
    <w:p w14:paraId="78407CC9" w14:textId="00CD500D" w:rsidR="009307F8" w:rsidRPr="00D03A86" w:rsidRDefault="009307F8" w:rsidP="00940136">
      <w:pPr>
        <w:spacing w:after="0" w:line="240" w:lineRule="auto"/>
        <w:jc w:val="both"/>
        <w:rPr>
          <w:szCs w:val="24"/>
        </w:rPr>
      </w:pPr>
    </w:p>
    <w:p w14:paraId="5F84A9E9" w14:textId="718C7D07" w:rsidR="003E59D6" w:rsidRPr="00D03A86" w:rsidRDefault="003E59D6" w:rsidP="00940136">
      <w:pPr>
        <w:spacing w:after="0" w:line="240" w:lineRule="auto"/>
        <w:jc w:val="both"/>
        <w:rPr>
          <w:szCs w:val="24"/>
        </w:rPr>
      </w:pPr>
      <w:r w:rsidRPr="00D03A86">
        <w:rPr>
          <w:szCs w:val="24"/>
        </w:rPr>
        <w:t xml:space="preserve">Chapter 21 also outlines the procedure for submitting an application for </w:t>
      </w:r>
      <w:r w:rsidR="00127187" w:rsidRPr="00D03A86">
        <w:rPr>
          <w:szCs w:val="24"/>
        </w:rPr>
        <w:t xml:space="preserve">the </w:t>
      </w:r>
      <w:r w:rsidRPr="00D03A86">
        <w:rPr>
          <w:szCs w:val="24"/>
        </w:rPr>
        <w:t>assessment of rare conditions.</w:t>
      </w:r>
    </w:p>
    <w:p w14:paraId="131D1B94" w14:textId="4903ECE9" w:rsidR="003E59D6" w:rsidRPr="00D03A86" w:rsidRDefault="003E59D6" w:rsidP="00940136">
      <w:pPr>
        <w:spacing w:after="0" w:line="240" w:lineRule="auto"/>
        <w:jc w:val="both"/>
        <w:rPr>
          <w:szCs w:val="24"/>
        </w:rPr>
      </w:pPr>
    </w:p>
    <w:p w14:paraId="36A489ED" w14:textId="2E4C7702" w:rsidR="003E59D6" w:rsidRPr="00D03A86" w:rsidRDefault="001F063F" w:rsidP="00940136">
      <w:pPr>
        <w:spacing w:after="0" w:line="240" w:lineRule="auto"/>
        <w:jc w:val="both"/>
        <w:rPr>
          <w:szCs w:val="24"/>
        </w:rPr>
      </w:pPr>
      <w:r w:rsidRPr="00D03A86">
        <w:rPr>
          <w:szCs w:val="24"/>
        </w:rPr>
        <w:t xml:space="preserve">In general, the scales used in the </w:t>
      </w:r>
      <w:proofErr w:type="spellStart"/>
      <w:r w:rsidRPr="00D03A86">
        <w:rPr>
          <w:szCs w:val="24"/>
        </w:rPr>
        <w:t>Barema</w:t>
      </w:r>
      <w:proofErr w:type="spellEnd"/>
      <w:r w:rsidRPr="00D03A86">
        <w:rPr>
          <w:szCs w:val="24"/>
        </w:rPr>
        <w:t xml:space="preserve"> method reflect </w:t>
      </w:r>
      <w:r w:rsidR="00426124" w:rsidRPr="00D03A86">
        <w:rPr>
          <w:szCs w:val="24"/>
        </w:rPr>
        <w:t>the level of severity of</w:t>
      </w:r>
      <w:r w:rsidRPr="00D03A86">
        <w:rPr>
          <w:szCs w:val="24"/>
        </w:rPr>
        <w:t xml:space="preserve"> </w:t>
      </w:r>
      <w:r w:rsidR="00DD153A" w:rsidRPr="00D03A86">
        <w:rPr>
          <w:szCs w:val="24"/>
        </w:rPr>
        <w:t xml:space="preserve">a given </w:t>
      </w:r>
      <w:r w:rsidRPr="00D03A86">
        <w:rPr>
          <w:szCs w:val="24"/>
        </w:rPr>
        <w:t xml:space="preserve">impairment. </w:t>
      </w:r>
      <w:r w:rsidR="00E37F0A" w:rsidRPr="00D03A86">
        <w:rPr>
          <w:szCs w:val="24"/>
        </w:rPr>
        <w:t>Below are some e</w:t>
      </w:r>
      <w:r w:rsidR="00367A42" w:rsidRPr="00D03A86">
        <w:rPr>
          <w:szCs w:val="24"/>
        </w:rPr>
        <w:t>xamples</w:t>
      </w:r>
      <w:r w:rsidR="002A1CCA" w:rsidRPr="00D03A86">
        <w:rPr>
          <w:szCs w:val="24"/>
        </w:rPr>
        <w:t xml:space="preserve"> of applications of </w:t>
      </w:r>
      <w:r w:rsidR="00E37F0A" w:rsidRPr="00D03A86">
        <w:rPr>
          <w:szCs w:val="24"/>
        </w:rPr>
        <w:t>the</w:t>
      </w:r>
      <w:r w:rsidR="002A1CCA" w:rsidRPr="00D03A86">
        <w:rPr>
          <w:szCs w:val="24"/>
        </w:rPr>
        <w:t xml:space="preserve"> </w:t>
      </w:r>
      <w:proofErr w:type="spellStart"/>
      <w:r w:rsidR="002A1CCA" w:rsidRPr="00D03A86">
        <w:rPr>
          <w:szCs w:val="24"/>
        </w:rPr>
        <w:t>Barema</w:t>
      </w:r>
      <w:proofErr w:type="spellEnd"/>
      <w:r w:rsidR="002A1CCA" w:rsidRPr="00D03A86">
        <w:rPr>
          <w:szCs w:val="24"/>
        </w:rPr>
        <w:t xml:space="preserve"> disability scale</w:t>
      </w:r>
      <w:r w:rsidR="00DD153A" w:rsidRPr="00D03A86">
        <w:rPr>
          <w:szCs w:val="24"/>
        </w:rPr>
        <w:t xml:space="preserve">. It is useful to note also </w:t>
      </w:r>
      <w:r w:rsidR="00F61F63" w:rsidRPr="00D03A86">
        <w:rPr>
          <w:szCs w:val="24"/>
        </w:rPr>
        <w:t xml:space="preserve">that the threshold for a disability pension is at 50%, while for additional disability cash benefits </w:t>
      </w:r>
      <w:r w:rsidR="00147B0A" w:rsidRPr="00D03A86">
        <w:rPr>
          <w:szCs w:val="24"/>
        </w:rPr>
        <w:t xml:space="preserve">the threshold is </w:t>
      </w:r>
      <w:r w:rsidR="00F61F63" w:rsidRPr="00D03A86">
        <w:rPr>
          <w:szCs w:val="24"/>
        </w:rPr>
        <w:t xml:space="preserve">normally </w:t>
      </w:r>
      <w:r w:rsidR="00147B0A" w:rsidRPr="00D03A86">
        <w:rPr>
          <w:szCs w:val="24"/>
        </w:rPr>
        <w:t xml:space="preserve">set </w:t>
      </w:r>
      <w:r w:rsidR="00F61F63" w:rsidRPr="00D03A86">
        <w:rPr>
          <w:szCs w:val="24"/>
        </w:rPr>
        <w:t>at 67% or 80%</w:t>
      </w:r>
      <w:r w:rsidR="00367A42" w:rsidRPr="00D03A86">
        <w:rPr>
          <w:szCs w:val="24"/>
        </w:rPr>
        <w:t>:</w:t>
      </w:r>
    </w:p>
    <w:p w14:paraId="07D38C1C" w14:textId="77777777" w:rsidR="00367A42" w:rsidRPr="00D03A86" w:rsidRDefault="00367A42" w:rsidP="00940136">
      <w:pPr>
        <w:spacing w:after="0" w:line="240" w:lineRule="auto"/>
        <w:jc w:val="both"/>
        <w:rPr>
          <w:szCs w:val="24"/>
        </w:rPr>
      </w:pPr>
    </w:p>
    <w:p w14:paraId="17CCDC3C" w14:textId="6C366B33" w:rsidR="001C44C2" w:rsidRPr="00D03A86" w:rsidRDefault="00E37F0A" w:rsidP="00940136">
      <w:pPr>
        <w:spacing w:after="0" w:line="240" w:lineRule="auto"/>
        <w:jc w:val="both"/>
        <w:rPr>
          <w:szCs w:val="24"/>
        </w:rPr>
      </w:pPr>
      <w:r w:rsidRPr="00D03A86">
        <w:rPr>
          <w:szCs w:val="24"/>
        </w:rPr>
        <w:t>Chapter (11)</w:t>
      </w:r>
      <w:r w:rsidR="00367A42" w:rsidRPr="00D03A86">
        <w:rPr>
          <w:szCs w:val="24"/>
        </w:rPr>
        <w:t xml:space="preserve"> Mental Health Disorders</w:t>
      </w:r>
      <w:r w:rsidRPr="00D03A86">
        <w:rPr>
          <w:szCs w:val="24"/>
        </w:rPr>
        <w:t>,</w:t>
      </w:r>
      <w:r w:rsidR="00F30BCF" w:rsidRPr="00D03A86">
        <w:rPr>
          <w:szCs w:val="24"/>
        </w:rPr>
        <w:t xml:space="preserve"> includes</w:t>
      </w:r>
      <w:r w:rsidR="00367A42" w:rsidRPr="00D03A86">
        <w:rPr>
          <w:szCs w:val="24"/>
        </w:rPr>
        <w:t xml:space="preserve"> </w:t>
      </w:r>
      <w:r w:rsidRPr="00D03A86">
        <w:rPr>
          <w:szCs w:val="24"/>
        </w:rPr>
        <w:t>types of</w:t>
      </w:r>
      <w:r w:rsidR="00962E78" w:rsidRPr="00D03A86">
        <w:rPr>
          <w:szCs w:val="24"/>
        </w:rPr>
        <w:t xml:space="preserve"> impairments</w:t>
      </w:r>
      <w:r w:rsidR="00F30BCF" w:rsidRPr="00D03A86">
        <w:rPr>
          <w:szCs w:val="24"/>
        </w:rPr>
        <w:t xml:space="preserve"> such as:</w:t>
      </w:r>
      <w:r w:rsidR="00A84BB4" w:rsidRPr="00D03A86">
        <w:rPr>
          <w:szCs w:val="24"/>
        </w:rPr>
        <w:t xml:space="preserve"> </w:t>
      </w:r>
    </w:p>
    <w:p w14:paraId="43BBDD7F" w14:textId="77777777" w:rsidR="001C44C2" w:rsidRPr="00D03A86" w:rsidRDefault="001C44C2" w:rsidP="00940136">
      <w:pPr>
        <w:spacing w:after="0" w:line="240" w:lineRule="auto"/>
        <w:jc w:val="both"/>
        <w:rPr>
          <w:szCs w:val="24"/>
        </w:rPr>
      </w:pPr>
    </w:p>
    <w:p w14:paraId="5593F2B4" w14:textId="77777777" w:rsidR="009C7A75" w:rsidRPr="00D03A86" w:rsidRDefault="001C44C2" w:rsidP="00940136">
      <w:pPr>
        <w:pStyle w:val="ListParagraph"/>
        <w:numPr>
          <w:ilvl w:val="0"/>
          <w:numId w:val="12"/>
        </w:numPr>
        <w:spacing w:after="0" w:line="240" w:lineRule="auto"/>
        <w:ind w:left="567" w:hanging="567"/>
        <w:jc w:val="both"/>
        <w:rPr>
          <w:szCs w:val="24"/>
        </w:rPr>
      </w:pPr>
      <w:r w:rsidRPr="00D03A86">
        <w:rPr>
          <w:szCs w:val="24"/>
        </w:rPr>
        <w:t>D</w:t>
      </w:r>
      <w:r w:rsidR="00367A42" w:rsidRPr="00D03A86">
        <w:rPr>
          <w:szCs w:val="24"/>
        </w:rPr>
        <w:t>ementia (e.g. Alzheimer’</w:t>
      </w:r>
      <w:r w:rsidRPr="00D03A86">
        <w:rPr>
          <w:szCs w:val="24"/>
        </w:rPr>
        <w:t>s)</w:t>
      </w:r>
    </w:p>
    <w:p w14:paraId="3B8705B3" w14:textId="77777777" w:rsidR="009C7A75" w:rsidRPr="00D03A86" w:rsidRDefault="001C44C2" w:rsidP="00940136">
      <w:pPr>
        <w:pStyle w:val="ListParagraph"/>
        <w:numPr>
          <w:ilvl w:val="0"/>
          <w:numId w:val="31"/>
        </w:numPr>
        <w:spacing w:after="0" w:line="240" w:lineRule="auto"/>
        <w:ind w:left="1134" w:hanging="567"/>
        <w:jc w:val="both"/>
        <w:rPr>
          <w:szCs w:val="24"/>
        </w:rPr>
      </w:pPr>
      <w:r w:rsidRPr="00D03A86">
        <w:rPr>
          <w:szCs w:val="24"/>
        </w:rPr>
        <w:t>Mild 10%-50%</w:t>
      </w:r>
    </w:p>
    <w:p w14:paraId="6562DD9B" w14:textId="77777777" w:rsidR="00614885" w:rsidRPr="00D03A86" w:rsidRDefault="001C44C2" w:rsidP="00940136">
      <w:pPr>
        <w:pStyle w:val="ListParagraph"/>
        <w:numPr>
          <w:ilvl w:val="0"/>
          <w:numId w:val="31"/>
        </w:numPr>
        <w:spacing w:after="0" w:line="240" w:lineRule="auto"/>
        <w:ind w:left="1134" w:hanging="567"/>
        <w:jc w:val="both"/>
        <w:rPr>
          <w:szCs w:val="24"/>
        </w:rPr>
      </w:pPr>
      <w:r w:rsidRPr="00D03A86">
        <w:rPr>
          <w:szCs w:val="24"/>
        </w:rPr>
        <w:t>Incipient 67%-80%</w:t>
      </w:r>
    </w:p>
    <w:p w14:paraId="61168335" w14:textId="4CF17002" w:rsidR="001C44C2" w:rsidRPr="00D03A86" w:rsidRDefault="001C44C2" w:rsidP="00940136">
      <w:pPr>
        <w:pStyle w:val="ListParagraph"/>
        <w:numPr>
          <w:ilvl w:val="0"/>
          <w:numId w:val="31"/>
        </w:numPr>
        <w:spacing w:after="0" w:line="240" w:lineRule="auto"/>
        <w:ind w:left="1134" w:hanging="567"/>
        <w:jc w:val="both"/>
        <w:rPr>
          <w:szCs w:val="24"/>
        </w:rPr>
      </w:pPr>
      <w:r w:rsidRPr="00D03A86">
        <w:rPr>
          <w:szCs w:val="24"/>
        </w:rPr>
        <w:t>Advanced &gt;80%</w:t>
      </w:r>
    </w:p>
    <w:p w14:paraId="4A4DF9A9" w14:textId="77777777" w:rsidR="001C44C2" w:rsidRPr="00D03A86" w:rsidRDefault="001C44C2" w:rsidP="00940136">
      <w:pPr>
        <w:spacing w:after="0" w:line="240" w:lineRule="auto"/>
        <w:ind w:left="426" w:hanging="360"/>
        <w:jc w:val="both"/>
        <w:rPr>
          <w:szCs w:val="24"/>
        </w:rPr>
      </w:pPr>
    </w:p>
    <w:p w14:paraId="5D183E8F" w14:textId="1CE947B1" w:rsidR="00FA3B1B" w:rsidRPr="00D03A86" w:rsidRDefault="005E7204" w:rsidP="00940136">
      <w:pPr>
        <w:pStyle w:val="ListParagraph"/>
        <w:numPr>
          <w:ilvl w:val="0"/>
          <w:numId w:val="12"/>
        </w:numPr>
        <w:spacing w:after="0" w:line="240" w:lineRule="auto"/>
        <w:ind w:left="567" w:hanging="567"/>
        <w:jc w:val="both"/>
        <w:rPr>
          <w:szCs w:val="24"/>
        </w:rPr>
      </w:pPr>
      <w:r w:rsidRPr="00D03A86">
        <w:rPr>
          <w:szCs w:val="24"/>
        </w:rPr>
        <w:t>“</w:t>
      </w:r>
      <w:r w:rsidR="009C7A75" w:rsidRPr="00D03A86">
        <w:rPr>
          <w:szCs w:val="24"/>
        </w:rPr>
        <w:t>E</w:t>
      </w:r>
      <w:r w:rsidR="00367A42" w:rsidRPr="00D03A86">
        <w:rPr>
          <w:szCs w:val="24"/>
        </w:rPr>
        <w:t>motional</w:t>
      </w:r>
      <w:r w:rsidRPr="00D03A86">
        <w:rPr>
          <w:szCs w:val="24"/>
        </w:rPr>
        <w:t>”</w:t>
      </w:r>
      <w:r w:rsidR="00367A42" w:rsidRPr="00D03A86">
        <w:rPr>
          <w:szCs w:val="24"/>
        </w:rPr>
        <w:t xml:space="preserve"> disorders</w:t>
      </w:r>
      <w:r w:rsidR="0043471B" w:rsidRPr="00D03A86">
        <w:rPr>
          <w:szCs w:val="24"/>
        </w:rPr>
        <w:t>:</w:t>
      </w:r>
      <w:r w:rsidR="00367A42" w:rsidRPr="00D03A86">
        <w:rPr>
          <w:szCs w:val="24"/>
        </w:rPr>
        <w:t xml:space="preserve"> </w:t>
      </w:r>
    </w:p>
    <w:p w14:paraId="370C8180" w14:textId="3A72069A" w:rsidR="00FA3B1B" w:rsidRPr="00D03A86" w:rsidRDefault="00FA3B1B" w:rsidP="00940136">
      <w:pPr>
        <w:pStyle w:val="ListParagraph"/>
        <w:numPr>
          <w:ilvl w:val="0"/>
          <w:numId w:val="31"/>
        </w:numPr>
        <w:spacing w:after="0" w:line="240" w:lineRule="auto"/>
        <w:ind w:left="1134" w:hanging="567"/>
        <w:jc w:val="both"/>
        <w:rPr>
          <w:szCs w:val="24"/>
        </w:rPr>
      </w:pPr>
      <w:r w:rsidRPr="00D03A86">
        <w:rPr>
          <w:szCs w:val="24"/>
        </w:rPr>
        <w:t>B</w:t>
      </w:r>
      <w:r w:rsidR="00367A42" w:rsidRPr="00D03A86">
        <w:rPr>
          <w:szCs w:val="24"/>
        </w:rPr>
        <w:t xml:space="preserve">i-polar </w:t>
      </w:r>
      <w:r w:rsidRPr="00D03A86">
        <w:rPr>
          <w:szCs w:val="24"/>
        </w:rPr>
        <w:t xml:space="preserve">disorder 50%-67% </w:t>
      </w:r>
      <w:r w:rsidR="004C33F7" w:rsidRPr="00D03A86">
        <w:rPr>
          <w:szCs w:val="24"/>
        </w:rPr>
        <w:t>(</w:t>
      </w:r>
      <w:r w:rsidR="000C7E10" w:rsidRPr="00D03A86">
        <w:rPr>
          <w:szCs w:val="24"/>
        </w:rPr>
        <w:t>taking</w:t>
      </w:r>
      <w:r w:rsidR="004C33F7" w:rsidRPr="00D03A86">
        <w:rPr>
          <w:szCs w:val="24"/>
        </w:rPr>
        <w:t xml:space="preserve"> also</w:t>
      </w:r>
      <w:r w:rsidR="000C7E10" w:rsidRPr="00D03A86">
        <w:rPr>
          <w:szCs w:val="24"/>
        </w:rPr>
        <w:t xml:space="preserve"> into account</w:t>
      </w:r>
      <w:r w:rsidR="004C33F7" w:rsidRPr="00D03A86">
        <w:rPr>
          <w:szCs w:val="24"/>
        </w:rPr>
        <w:t xml:space="preserve"> </w:t>
      </w:r>
      <w:r w:rsidR="000C7E10" w:rsidRPr="00D03A86">
        <w:rPr>
          <w:szCs w:val="24"/>
        </w:rPr>
        <w:t xml:space="preserve">the </w:t>
      </w:r>
      <w:r w:rsidR="004C33F7" w:rsidRPr="00D03A86">
        <w:rPr>
          <w:szCs w:val="24"/>
        </w:rPr>
        <w:t xml:space="preserve">number </w:t>
      </w:r>
      <w:r w:rsidR="000840BF" w:rsidRPr="00D03A86">
        <w:rPr>
          <w:szCs w:val="24"/>
        </w:rPr>
        <w:t xml:space="preserve">and duration </w:t>
      </w:r>
      <w:r w:rsidR="004C33F7" w:rsidRPr="00D03A86">
        <w:rPr>
          <w:szCs w:val="24"/>
        </w:rPr>
        <w:t>of “incidents”</w:t>
      </w:r>
      <w:r w:rsidR="000840BF" w:rsidRPr="00D03A86">
        <w:rPr>
          <w:szCs w:val="24"/>
        </w:rPr>
        <w:t>, period free of incidents,</w:t>
      </w:r>
      <w:r w:rsidR="00102A7C" w:rsidRPr="00D03A86">
        <w:rPr>
          <w:szCs w:val="24"/>
        </w:rPr>
        <w:t xml:space="preserve"> presence of psychotic symptoms,</w:t>
      </w:r>
      <w:r w:rsidR="000840BF" w:rsidRPr="00D03A86">
        <w:rPr>
          <w:szCs w:val="24"/>
        </w:rPr>
        <w:t xml:space="preserve"> etc</w:t>
      </w:r>
      <w:r w:rsidR="0055117D" w:rsidRPr="00D03A86">
        <w:rPr>
          <w:szCs w:val="24"/>
        </w:rPr>
        <w:t>.</w:t>
      </w:r>
      <w:r w:rsidR="008C16E8" w:rsidRPr="00D03A86">
        <w:rPr>
          <w:szCs w:val="24"/>
        </w:rPr>
        <w:t>)</w:t>
      </w:r>
      <w:r w:rsidR="000840BF" w:rsidRPr="00D03A86">
        <w:rPr>
          <w:vertAlign w:val="superscript"/>
        </w:rPr>
        <w:footnoteReference w:id="10"/>
      </w:r>
    </w:p>
    <w:p w14:paraId="689ACFAF" w14:textId="1B7D5CFA" w:rsidR="00DA3626" w:rsidRPr="00D03A86" w:rsidRDefault="004C33F7" w:rsidP="00940136">
      <w:pPr>
        <w:pStyle w:val="ListParagraph"/>
        <w:numPr>
          <w:ilvl w:val="0"/>
          <w:numId w:val="31"/>
        </w:numPr>
        <w:spacing w:after="0" w:line="240" w:lineRule="auto"/>
        <w:ind w:left="1134" w:hanging="567"/>
        <w:jc w:val="both"/>
        <w:rPr>
          <w:szCs w:val="24"/>
        </w:rPr>
      </w:pPr>
      <w:r w:rsidRPr="00D03A86">
        <w:rPr>
          <w:szCs w:val="24"/>
        </w:rPr>
        <w:t>Recurrent d</w:t>
      </w:r>
      <w:r w:rsidR="00FA3B1B" w:rsidRPr="00D03A86">
        <w:rPr>
          <w:szCs w:val="24"/>
        </w:rPr>
        <w:t>epression 35%-50%</w:t>
      </w:r>
    </w:p>
    <w:p w14:paraId="2D47FC9F" w14:textId="77777777" w:rsidR="00FA3B1B" w:rsidRPr="00D03A86" w:rsidRDefault="00FA3B1B" w:rsidP="00940136">
      <w:pPr>
        <w:pStyle w:val="ListParagraph"/>
        <w:spacing w:after="0" w:line="240" w:lineRule="auto"/>
        <w:ind w:left="426" w:hanging="360"/>
        <w:jc w:val="both"/>
        <w:rPr>
          <w:szCs w:val="24"/>
        </w:rPr>
      </w:pPr>
    </w:p>
    <w:p w14:paraId="3E2DC711" w14:textId="495DFA8D" w:rsidR="00DA3626" w:rsidRPr="00D03A86" w:rsidRDefault="0043471B" w:rsidP="0055117D">
      <w:pPr>
        <w:pStyle w:val="ListParagraph"/>
        <w:numPr>
          <w:ilvl w:val="0"/>
          <w:numId w:val="12"/>
        </w:numPr>
        <w:spacing w:after="0" w:line="240" w:lineRule="auto"/>
        <w:ind w:left="567" w:hanging="567"/>
        <w:jc w:val="both"/>
        <w:rPr>
          <w:szCs w:val="24"/>
        </w:rPr>
      </w:pPr>
      <w:r w:rsidRPr="00D03A86">
        <w:rPr>
          <w:szCs w:val="24"/>
        </w:rPr>
        <w:t>I</w:t>
      </w:r>
      <w:r w:rsidR="00DA3626" w:rsidRPr="00D03A86">
        <w:rPr>
          <w:szCs w:val="24"/>
        </w:rPr>
        <w:t>ntellectual</w:t>
      </w:r>
      <w:r w:rsidR="00367A42" w:rsidRPr="00D03A86">
        <w:rPr>
          <w:szCs w:val="24"/>
        </w:rPr>
        <w:t xml:space="preserve"> impairments</w:t>
      </w:r>
      <w:r w:rsidR="00115A21" w:rsidRPr="00D03A86">
        <w:rPr>
          <w:szCs w:val="24"/>
        </w:rPr>
        <w:t xml:space="preserve"> (“Child Psychiatric Disorders” Sub-Category)</w:t>
      </w:r>
    </w:p>
    <w:p w14:paraId="5C36B5AF" w14:textId="0B125E53" w:rsidR="00DA3626" w:rsidRPr="00D03A86" w:rsidRDefault="00DA3626" w:rsidP="0055117D">
      <w:pPr>
        <w:pStyle w:val="ListParagraph"/>
        <w:numPr>
          <w:ilvl w:val="0"/>
          <w:numId w:val="31"/>
        </w:numPr>
        <w:spacing w:after="0" w:line="240" w:lineRule="auto"/>
        <w:ind w:left="1134" w:hanging="567"/>
        <w:jc w:val="both"/>
        <w:rPr>
          <w:szCs w:val="24"/>
        </w:rPr>
      </w:pPr>
      <w:r w:rsidRPr="00D03A86">
        <w:rPr>
          <w:szCs w:val="24"/>
        </w:rPr>
        <w:t>Mild 20%-66%</w:t>
      </w:r>
    </w:p>
    <w:p w14:paraId="5513F3E1" w14:textId="088649B2" w:rsidR="00DA3626" w:rsidRPr="00D03A86" w:rsidRDefault="00DA3626" w:rsidP="0055117D">
      <w:pPr>
        <w:pStyle w:val="ListParagraph"/>
        <w:numPr>
          <w:ilvl w:val="0"/>
          <w:numId w:val="31"/>
        </w:numPr>
        <w:spacing w:after="0" w:line="240" w:lineRule="auto"/>
        <w:ind w:left="1134" w:hanging="567"/>
        <w:jc w:val="both"/>
        <w:rPr>
          <w:szCs w:val="24"/>
        </w:rPr>
      </w:pPr>
      <w:r w:rsidRPr="00D03A86">
        <w:rPr>
          <w:szCs w:val="24"/>
        </w:rPr>
        <w:t>Medium 67%-79%</w:t>
      </w:r>
    </w:p>
    <w:p w14:paraId="70FE17D3" w14:textId="77777777" w:rsidR="00614885" w:rsidRPr="00D03A86" w:rsidRDefault="00DA3626" w:rsidP="0055117D">
      <w:pPr>
        <w:pStyle w:val="ListParagraph"/>
        <w:numPr>
          <w:ilvl w:val="0"/>
          <w:numId w:val="31"/>
        </w:numPr>
        <w:spacing w:after="0" w:line="240" w:lineRule="auto"/>
        <w:ind w:left="1134" w:hanging="567"/>
        <w:jc w:val="both"/>
        <w:rPr>
          <w:szCs w:val="24"/>
        </w:rPr>
      </w:pPr>
      <w:r w:rsidRPr="00D03A86">
        <w:rPr>
          <w:szCs w:val="24"/>
        </w:rPr>
        <w:t>Serious 80%- 84%</w:t>
      </w:r>
    </w:p>
    <w:p w14:paraId="7DFC510F" w14:textId="487C265A" w:rsidR="00DA3626" w:rsidRPr="00D03A86" w:rsidRDefault="00DA3626" w:rsidP="0055117D">
      <w:pPr>
        <w:pStyle w:val="ListParagraph"/>
        <w:numPr>
          <w:ilvl w:val="0"/>
          <w:numId w:val="31"/>
        </w:numPr>
        <w:spacing w:after="0" w:line="240" w:lineRule="auto"/>
        <w:ind w:left="1134" w:hanging="567"/>
        <w:jc w:val="both"/>
        <w:rPr>
          <w:szCs w:val="24"/>
        </w:rPr>
      </w:pPr>
      <w:r w:rsidRPr="00D03A86">
        <w:rPr>
          <w:szCs w:val="24"/>
        </w:rPr>
        <w:lastRenderedPageBreak/>
        <w:t>Severe &gt;85%</w:t>
      </w:r>
    </w:p>
    <w:p w14:paraId="77197B94" w14:textId="04720918" w:rsidR="00FA3B1B" w:rsidRPr="00D03A86" w:rsidRDefault="00FA3B1B" w:rsidP="0055117D">
      <w:pPr>
        <w:pStyle w:val="ListParagraph"/>
        <w:numPr>
          <w:ilvl w:val="0"/>
          <w:numId w:val="12"/>
        </w:numPr>
        <w:spacing w:after="0" w:line="240" w:lineRule="auto"/>
        <w:ind w:left="567" w:hanging="567"/>
        <w:jc w:val="both"/>
        <w:rPr>
          <w:szCs w:val="24"/>
        </w:rPr>
      </w:pPr>
      <w:r w:rsidRPr="00D03A86">
        <w:rPr>
          <w:szCs w:val="24"/>
        </w:rPr>
        <w:t xml:space="preserve">Genetic Syndromes </w:t>
      </w:r>
      <w:r w:rsidR="00115A21" w:rsidRPr="00D03A86">
        <w:rPr>
          <w:szCs w:val="24"/>
        </w:rPr>
        <w:t>(“Child Psychiatric Disorders” Sub-Category)</w:t>
      </w:r>
    </w:p>
    <w:p w14:paraId="3FBC49C7" w14:textId="37A65BDF" w:rsidR="00FA3B1B" w:rsidRPr="00D03A86" w:rsidRDefault="00FA3B1B" w:rsidP="0055117D">
      <w:pPr>
        <w:pStyle w:val="ListParagraph"/>
        <w:numPr>
          <w:ilvl w:val="0"/>
          <w:numId w:val="31"/>
        </w:numPr>
        <w:spacing w:after="0" w:line="240" w:lineRule="auto"/>
        <w:ind w:left="1134" w:hanging="567"/>
        <w:jc w:val="both"/>
        <w:rPr>
          <w:szCs w:val="24"/>
        </w:rPr>
      </w:pPr>
      <w:r w:rsidRPr="00D03A86">
        <w:rPr>
          <w:szCs w:val="24"/>
        </w:rPr>
        <w:t>Normal, or mild, or medium intellectual impairment 67%-79%</w:t>
      </w:r>
    </w:p>
    <w:p w14:paraId="28902F93" w14:textId="77777777" w:rsidR="008C16E8" w:rsidRPr="00D03A86" w:rsidRDefault="00FA3B1B" w:rsidP="0055117D">
      <w:pPr>
        <w:pStyle w:val="ListParagraph"/>
        <w:numPr>
          <w:ilvl w:val="0"/>
          <w:numId w:val="31"/>
        </w:numPr>
        <w:spacing w:after="0" w:line="240" w:lineRule="auto"/>
        <w:ind w:left="1134" w:hanging="567"/>
        <w:jc w:val="both"/>
        <w:rPr>
          <w:szCs w:val="24"/>
        </w:rPr>
      </w:pPr>
      <w:r w:rsidRPr="00D03A86">
        <w:rPr>
          <w:szCs w:val="24"/>
        </w:rPr>
        <w:t xml:space="preserve">Serious or Severe intellectual impairment </w:t>
      </w:r>
      <w:r w:rsidR="00D24445" w:rsidRPr="00D03A86">
        <w:rPr>
          <w:szCs w:val="24"/>
        </w:rPr>
        <w:t>&gt;</w:t>
      </w:r>
      <w:r w:rsidRPr="00D03A86">
        <w:rPr>
          <w:szCs w:val="24"/>
        </w:rPr>
        <w:t>80%</w:t>
      </w:r>
    </w:p>
    <w:p w14:paraId="7D552DA4" w14:textId="77777777" w:rsidR="008C16E8" w:rsidRPr="00D03A86" w:rsidRDefault="008C16E8" w:rsidP="0055117D">
      <w:pPr>
        <w:spacing w:after="0" w:line="240" w:lineRule="auto"/>
        <w:jc w:val="both"/>
        <w:rPr>
          <w:szCs w:val="24"/>
        </w:rPr>
      </w:pPr>
    </w:p>
    <w:p w14:paraId="3450154C" w14:textId="77777777" w:rsidR="0055117D" w:rsidRPr="00D03A86" w:rsidRDefault="004C33F7" w:rsidP="00940136">
      <w:pPr>
        <w:spacing w:after="0" w:line="240" w:lineRule="auto"/>
        <w:jc w:val="both"/>
        <w:rPr>
          <w:szCs w:val="24"/>
        </w:rPr>
      </w:pPr>
      <w:r w:rsidRPr="00D03A86">
        <w:rPr>
          <w:szCs w:val="24"/>
        </w:rPr>
        <w:t xml:space="preserve">In Chapter (12) Nervous System Disorders, it is stipulated that </w:t>
      </w:r>
      <w:r w:rsidR="005A50FC" w:rsidRPr="00D03A86">
        <w:rPr>
          <w:szCs w:val="24"/>
        </w:rPr>
        <w:t xml:space="preserve">the </w:t>
      </w:r>
      <w:r w:rsidRPr="00D03A86">
        <w:rPr>
          <w:szCs w:val="24"/>
        </w:rPr>
        <w:t>disability assessment</w:t>
      </w:r>
      <w:r w:rsidR="005A50FC" w:rsidRPr="00D03A86">
        <w:rPr>
          <w:szCs w:val="24"/>
        </w:rPr>
        <w:t xml:space="preserve"> process should be</w:t>
      </w:r>
      <w:r w:rsidR="00937110" w:rsidRPr="00D03A86">
        <w:rPr>
          <w:szCs w:val="24"/>
        </w:rPr>
        <w:t xml:space="preserve"> based on </w:t>
      </w:r>
      <w:r w:rsidR="005A50FC" w:rsidRPr="00D03A86">
        <w:rPr>
          <w:szCs w:val="24"/>
        </w:rPr>
        <w:t xml:space="preserve">the </w:t>
      </w:r>
      <w:r w:rsidR="00937110" w:rsidRPr="00D03A86">
        <w:rPr>
          <w:szCs w:val="24"/>
        </w:rPr>
        <w:t>clinical impression rather than solely on diagnos</w:t>
      </w:r>
      <w:r w:rsidR="005A50FC" w:rsidRPr="00D03A86">
        <w:rPr>
          <w:szCs w:val="24"/>
        </w:rPr>
        <w:t xml:space="preserve">is, therefore the scale range is wide and </w:t>
      </w:r>
      <w:r w:rsidR="00937110" w:rsidRPr="00D03A86">
        <w:rPr>
          <w:szCs w:val="24"/>
        </w:rPr>
        <w:t>intended only as guidance</w:t>
      </w:r>
      <w:r w:rsidR="008C16E8" w:rsidRPr="00D03A86">
        <w:rPr>
          <w:szCs w:val="24"/>
        </w:rPr>
        <w:t>.</w:t>
      </w:r>
      <w:r w:rsidR="000840BF" w:rsidRPr="00D03A86">
        <w:rPr>
          <w:rStyle w:val="FootnoteReference"/>
          <w:szCs w:val="24"/>
        </w:rPr>
        <w:footnoteReference w:id="11"/>
      </w:r>
      <w:r w:rsidRPr="00D03A86">
        <w:rPr>
          <w:szCs w:val="24"/>
        </w:rPr>
        <w:t xml:space="preserve"> </w:t>
      </w:r>
    </w:p>
    <w:p w14:paraId="682CCCDE" w14:textId="77777777" w:rsidR="0055117D" w:rsidRPr="00D03A86" w:rsidRDefault="0055117D" w:rsidP="00940136">
      <w:pPr>
        <w:spacing w:after="0" w:line="240" w:lineRule="auto"/>
        <w:jc w:val="both"/>
        <w:rPr>
          <w:szCs w:val="24"/>
        </w:rPr>
      </w:pPr>
    </w:p>
    <w:p w14:paraId="64E1FAB2" w14:textId="47C4E909" w:rsidR="0043471B" w:rsidRPr="00D03A86" w:rsidRDefault="005D2A2E" w:rsidP="00940136">
      <w:pPr>
        <w:spacing w:after="0" w:line="240" w:lineRule="auto"/>
        <w:jc w:val="both"/>
        <w:rPr>
          <w:szCs w:val="24"/>
        </w:rPr>
      </w:pPr>
      <w:r w:rsidRPr="00D03A86">
        <w:rPr>
          <w:szCs w:val="24"/>
        </w:rPr>
        <w:t>Examples under this category include:</w:t>
      </w:r>
    </w:p>
    <w:p w14:paraId="2E4A8D04" w14:textId="77777777" w:rsidR="0043471B" w:rsidRPr="00D03A86" w:rsidRDefault="0043471B" w:rsidP="00940136">
      <w:pPr>
        <w:spacing w:after="0" w:line="240" w:lineRule="auto"/>
        <w:jc w:val="both"/>
        <w:rPr>
          <w:szCs w:val="24"/>
        </w:rPr>
      </w:pPr>
    </w:p>
    <w:p w14:paraId="7A30F571" w14:textId="5716FE61" w:rsidR="0043471B" w:rsidRPr="00D03A86" w:rsidRDefault="004C33F7" w:rsidP="00940136">
      <w:pPr>
        <w:pStyle w:val="ListParagraph"/>
        <w:numPr>
          <w:ilvl w:val="0"/>
          <w:numId w:val="12"/>
        </w:numPr>
        <w:spacing w:after="0" w:line="240" w:lineRule="auto"/>
        <w:ind w:left="567" w:hanging="567"/>
        <w:jc w:val="both"/>
        <w:rPr>
          <w:szCs w:val="24"/>
        </w:rPr>
      </w:pPr>
      <w:r w:rsidRPr="00D03A86">
        <w:rPr>
          <w:szCs w:val="24"/>
        </w:rPr>
        <w:t>C</w:t>
      </w:r>
      <w:r w:rsidR="00367A42" w:rsidRPr="00D03A86">
        <w:rPr>
          <w:szCs w:val="24"/>
        </w:rPr>
        <w:t xml:space="preserve">erebral palsy (&gt;=50%) </w:t>
      </w:r>
    </w:p>
    <w:p w14:paraId="36A375C2" w14:textId="449C1B1E" w:rsidR="0043471B" w:rsidRPr="00D03A86" w:rsidRDefault="004C33F7" w:rsidP="00940136">
      <w:pPr>
        <w:pStyle w:val="ListParagraph"/>
        <w:numPr>
          <w:ilvl w:val="0"/>
          <w:numId w:val="12"/>
        </w:numPr>
        <w:spacing w:after="0" w:line="240" w:lineRule="auto"/>
        <w:ind w:left="567" w:hanging="567"/>
        <w:jc w:val="both"/>
        <w:rPr>
          <w:szCs w:val="24"/>
        </w:rPr>
      </w:pPr>
      <w:r w:rsidRPr="00D03A86">
        <w:rPr>
          <w:szCs w:val="24"/>
        </w:rPr>
        <w:t>M</w:t>
      </w:r>
      <w:r w:rsidR="00367A42" w:rsidRPr="00D03A86">
        <w:rPr>
          <w:szCs w:val="24"/>
        </w:rPr>
        <w:t xml:space="preserve">ultiple sclerosis (&gt;=35%) </w:t>
      </w:r>
    </w:p>
    <w:p w14:paraId="26534823" w14:textId="77777777" w:rsidR="005D2A2E" w:rsidRPr="00D03A86" w:rsidRDefault="005D2A2E" w:rsidP="00940136">
      <w:pPr>
        <w:pStyle w:val="ListParagraph"/>
        <w:numPr>
          <w:ilvl w:val="0"/>
          <w:numId w:val="12"/>
        </w:numPr>
        <w:spacing w:after="0" w:line="240" w:lineRule="auto"/>
        <w:ind w:left="567" w:hanging="567"/>
        <w:jc w:val="both"/>
        <w:rPr>
          <w:szCs w:val="24"/>
        </w:rPr>
      </w:pPr>
      <w:r w:rsidRPr="00D03A86">
        <w:rPr>
          <w:szCs w:val="24"/>
        </w:rPr>
        <w:t xml:space="preserve">Myasthenia gravis: </w:t>
      </w:r>
    </w:p>
    <w:p w14:paraId="6CF41D52" w14:textId="36CB712F" w:rsidR="005D2A2E" w:rsidRPr="00D03A86" w:rsidRDefault="005D2A2E" w:rsidP="0055117D">
      <w:pPr>
        <w:pStyle w:val="ListParagraph"/>
        <w:numPr>
          <w:ilvl w:val="0"/>
          <w:numId w:val="31"/>
        </w:numPr>
        <w:spacing w:after="0" w:line="240" w:lineRule="auto"/>
        <w:ind w:left="1134" w:hanging="567"/>
        <w:jc w:val="both"/>
        <w:rPr>
          <w:szCs w:val="24"/>
        </w:rPr>
      </w:pPr>
      <w:r w:rsidRPr="00D03A86">
        <w:rPr>
          <w:szCs w:val="24"/>
        </w:rPr>
        <w:t>Stage I: 35-50%</w:t>
      </w:r>
      <w:r w:rsidR="00E43DA1" w:rsidRPr="00D03A86">
        <w:rPr>
          <w:szCs w:val="24"/>
        </w:rPr>
        <w:t xml:space="preserve"> (occasional symptoms)</w:t>
      </w:r>
    </w:p>
    <w:p w14:paraId="72755F2A" w14:textId="5C244912" w:rsidR="005D2A2E" w:rsidRPr="00D03A86" w:rsidRDefault="005D2A2E" w:rsidP="0055117D">
      <w:pPr>
        <w:pStyle w:val="ListParagraph"/>
        <w:numPr>
          <w:ilvl w:val="0"/>
          <w:numId w:val="31"/>
        </w:numPr>
        <w:spacing w:after="0" w:line="240" w:lineRule="auto"/>
        <w:ind w:left="1134" w:hanging="567"/>
        <w:jc w:val="both"/>
        <w:rPr>
          <w:szCs w:val="24"/>
        </w:rPr>
      </w:pPr>
      <w:r w:rsidRPr="00D03A86">
        <w:rPr>
          <w:szCs w:val="24"/>
        </w:rPr>
        <w:t>Stage II: 50-67%</w:t>
      </w:r>
      <w:r w:rsidR="00E43DA1" w:rsidRPr="00D03A86">
        <w:rPr>
          <w:szCs w:val="24"/>
        </w:rPr>
        <w:t xml:space="preserve"> (medium level severity)</w:t>
      </w:r>
    </w:p>
    <w:p w14:paraId="1B7305C2" w14:textId="45ACF708" w:rsidR="005D2A2E" w:rsidRPr="00D03A86" w:rsidRDefault="005D2A2E" w:rsidP="0055117D">
      <w:pPr>
        <w:pStyle w:val="ListParagraph"/>
        <w:numPr>
          <w:ilvl w:val="0"/>
          <w:numId w:val="31"/>
        </w:numPr>
        <w:spacing w:after="0" w:line="240" w:lineRule="auto"/>
        <w:ind w:left="1134" w:hanging="567"/>
        <w:jc w:val="both"/>
        <w:rPr>
          <w:szCs w:val="24"/>
        </w:rPr>
      </w:pPr>
      <w:r w:rsidRPr="00D03A86">
        <w:rPr>
          <w:szCs w:val="24"/>
        </w:rPr>
        <w:t xml:space="preserve">Stage II: &gt;80% </w:t>
      </w:r>
      <w:r w:rsidR="00E43DA1" w:rsidRPr="00D03A86">
        <w:rPr>
          <w:szCs w:val="24"/>
        </w:rPr>
        <w:t>(Severe muscular weakness)</w:t>
      </w:r>
    </w:p>
    <w:p w14:paraId="1659F3D6" w14:textId="05C5DD74" w:rsidR="0043471B" w:rsidRPr="00D03A86" w:rsidRDefault="004C33F7" w:rsidP="00940136">
      <w:pPr>
        <w:pStyle w:val="ListParagraph"/>
        <w:numPr>
          <w:ilvl w:val="0"/>
          <w:numId w:val="12"/>
        </w:numPr>
        <w:spacing w:after="0" w:line="240" w:lineRule="auto"/>
        <w:ind w:left="567" w:hanging="567"/>
        <w:jc w:val="both"/>
        <w:rPr>
          <w:szCs w:val="24"/>
        </w:rPr>
      </w:pPr>
      <w:r w:rsidRPr="00D03A86">
        <w:rPr>
          <w:szCs w:val="24"/>
        </w:rPr>
        <w:t>M</w:t>
      </w:r>
      <w:r w:rsidR="00367A42" w:rsidRPr="00D03A86">
        <w:rPr>
          <w:szCs w:val="24"/>
        </w:rPr>
        <w:t>uscular dystrophy (&gt;=35%)</w:t>
      </w:r>
    </w:p>
    <w:p w14:paraId="12CD5002" w14:textId="5BBF9B94" w:rsidR="00BC0651" w:rsidRPr="00D03A86" w:rsidRDefault="00BC0651" w:rsidP="00940136">
      <w:pPr>
        <w:pStyle w:val="ListParagraph"/>
        <w:numPr>
          <w:ilvl w:val="0"/>
          <w:numId w:val="12"/>
        </w:numPr>
        <w:spacing w:after="0" w:line="240" w:lineRule="auto"/>
        <w:ind w:left="567" w:hanging="567"/>
        <w:jc w:val="both"/>
        <w:rPr>
          <w:szCs w:val="24"/>
        </w:rPr>
      </w:pPr>
      <w:r w:rsidRPr="00D03A86">
        <w:rPr>
          <w:szCs w:val="24"/>
        </w:rPr>
        <w:t>Paraplegia:</w:t>
      </w:r>
    </w:p>
    <w:p w14:paraId="60C0510F" w14:textId="55621D5C" w:rsidR="00BC0651" w:rsidRPr="00D03A86" w:rsidRDefault="00BC0651" w:rsidP="0055117D">
      <w:pPr>
        <w:pStyle w:val="ListParagraph"/>
        <w:numPr>
          <w:ilvl w:val="0"/>
          <w:numId w:val="31"/>
        </w:numPr>
        <w:spacing w:after="0" w:line="240" w:lineRule="auto"/>
        <w:ind w:left="1134" w:hanging="567"/>
        <w:jc w:val="both"/>
        <w:rPr>
          <w:szCs w:val="24"/>
        </w:rPr>
      </w:pPr>
      <w:r w:rsidRPr="00D03A86">
        <w:rPr>
          <w:szCs w:val="24"/>
        </w:rPr>
        <w:t>Medium:67%-80%</w:t>
      </w:r>
    </w:p>
    <w:p w14:paraId="300D25D2" w14:textId="32B5DC0A" w:rsidR="00BC0651" w:rsidRPr="00D03A86" w:rsidRDefault="00BC0651" w:rsidP="0055117D">
      <w:pPr>
        <w:pStyle w:val="ListParagraph"/>
        <w:numPr>
          <w:ilvl w:val="0"/>
          <w:numId w:val="31"/>
        </w:numPr>
        <w:spacing w:after="0" w:line="240" w:lineRule="auto"/>
        <w:ind w:left="1134" w:hanging="567"/>
        <w:jc w:val="both"/>
        <w:rPr>
          <w:szCs w:val="24"/>
        </w:rPr>
      </w:pPr>
      <w:r w:rsidRPr="00D03A86">
        <w:rPr>
          <w:szCs w:val="24"/>
        </w:rPr>
        <w:t>Severe: &gt;80%</w:t>
      </w:r>
    </w:p>
    <w:p w14:paraId="05C73D9C" w14:textId="11CC5C11" w:rsidR="00BC0651" w:rsidRPr="00D03A86" w:rsidRDefault="00BC0651" w:rsidP="00940136">
      <w:pPr>
        <w:pStyle w:val="ListParagraph"/>
        <w:numPr>
          <w:ilvl w:val="1"/>
          <w:numId w:val="36"/>
        </w:numPr>
        <w:spacing w:after="0" w:line="240" w:lineRule="auto"/>
        <w:ind w:left="567" w:hanging="567"/>
        <w:jc w:val="both"/>
        <w:rPr>
          <w:szCs w:val="24"/>
        </w:rPr>
      </w:pPr>
      <w:r w:rsidRPr="00D03A86">
        <w:rPr>
          <w:szCs w:val="24"/>
        </w:rPr>
        <w:t>Tetraplegia: &gt;80%</w:t>
      </w:r>
    </w:p>
    <w:p w14:paraId="67F4BDC8" w14:textId="77777777" w:rsidR="00A84BB4" w:rsidRPr="00D03A86" w:rsidRDefault="00A84BB4" w:rsidP="0055117D">
      <w:pPr>
        <w:spacing w:after="0" w:line="240" w:lineRule="auto"/>
        <w:jc w:val="both"/>
        <w:rPr>
          <w:szCs w:val="24"/>
        </w:rPr>
      </w:pPr>
    </w:p>
    <w:p w14:paraId="42E46F22" w14:textId="07FB26FB" w:rsidR="00861A45" w:rsidRPr="00D03A86" w:rsidRDefault="00603567" w:rsidP="00940136">
      <w:pPr>
        <w:spacing w:after="0" w:line="240" w:lineRule="auto"/>
        <w:jc w:val="both"/>
        <w:rPr>
          <w:szCs w:val="24"/>
        </w:rPr>
      </w:pPr>
      <w:r w:rsidRPr="00D03A86">
        <w:rPr>
          <w:szCs w:val="24"/>
        </w:rPr>
        <w:t xml:space="preserve">Critically viewed, the modifications </w:t>
      </w:r>
      <w:r w:rsidR="003327C4" w:rsidRPr="00D03A86">
        <w:rPr>
          <w:szCs w:val="24"/>
        </w:rPr>
        <w:t xml:space="preserve">of 2012 and 2017 </w:t>
      </w:r>
      <w:r w:rsidRPr="00D03A86">
        <w:rPr>
          <w:szCs w:val="24"/>
        </w:rPr>
        <w:t>seem to have reflected political agenda</w:t>
      </w:r>
      <w:r w:rsidR="00A6796F" w:rsidRPr="00D03A86">
        <w:rPr>
          <w:szCs w:val="24"/>
        </w:rPr>
        <w:t>s</w:t>
      </w:r>
      <w:r w:rsidRPr="00D03A86">
        <w:rPr>
          <w:szCs w:val="24"/>
        </w:rPr>
        <w:t xml:space="preserve"> for managing eligibility </w:t>
      </w:r>
      <w:r w:rsidR="003327C4" w:rsidRPr="00D03A86">
        <w:rPr>
          <w:szCs w:val="24"/>
        </w:rPr>
        <w:t>for</w:t>
      </w:r>
      <w:r w:rsidRPr="00D03A86">
        <w:rPr>
          <w:szCs w:val="24"/>
        </w:rPr>
        <w:t xml:space="preserve"> disability provisions (Pavli, A. 2017; the Greek Ombu</w:t>
      </w:r>
      <w:r w:rsidR="00B6585B" w:rsidRPr="00D03A86">
        <w:rPr>
          <w:szCs w:val="24"/>
        </w:rPr>
        <w:t xml:space="preserve">dsman 2013). </w:t>
      </w:r>
      <w:r w:rsidRPr="00D03A86">
        <w:rPr>
          <w:szCs w:val="24"/>
        </w:rPr>
        <w:t xml:space="preserve">A current prominent example involves the reduction of the minimum percentage attributed to Autism from 67% to 50%. It is interesting to note that this reduction had first appeared in </w:t>
      </w:r>
      <w:r w:rsidR="001C7869" w:rsidRPr="00D03A86">
        <w:rPr>
          <w:szCs w:val="24"/>
        </w:rPr>
        <w:t xml:space="preserve">the Single Table of Disability Percentage Determination in </w:t>
      </w:r>
      <w:r w:rsidRPr="00D03A86">
        <w:rPr>
          <w:szCs w:val="24"/>
        </w:rPr>
        <w:t xml:space="preserve">2011, but was overturned in 2012 after intense lobbying of disability organisations (please see further discussion below). </w:t>
      </w:r>
    </w:p>
    <w:p w14:paraId="5DCACFC2" w14:textId="77777777" w:rsidR="00861A45" w:rsidRPr="00D03A86" w:rsidRDefault="00861A45" w:rsidP="00940136">
      <w:pPr>
        <w:spacing w:after="0" w:line="240" w:lineRule="auto"/>
        <w:jc w:val="both"/>
        <w:rPr>
          <w:szCs w:val="24"/>
        </w:rPr>
      </w:pPr>
    </w:p>
    <w:p w14:paraId="36F083D8" w14:textId="26712495" w:rsidR="006715B9" w:rsidRPr="00D03A86" w:rsidRDefault="00861A45" w:rsidP="00940136">
      <w:pPr>
        <w:spacing w:after="0" w:line="240" w:lineRule="auto"/>
        <w:jc w:val="both"/>
        <w:rPr>
          <w:szCs w:val="24"/>
        </w:rPr>
      </w:pPr>
      <w:r w:rsidRPr="00D03A86">
        <w:rPr>
          <w:szCs w:val="24"/>
        </w:rPr>
        <w:t>No further publicly available guidance exists around the assessment process.</w:t>
      </w:r>
      <w:r w:rsidR="006715B9" w:rsidRPr="00D03A86">
        <w:rPr>
          <w:szCs w:val="24"/>
        </w:rPr>
        <w:t xml:space="preserve"> </w:t>
      </w:r>
    </w:p>
    <w:p w14:paraId="6D557617" w14:textId="55BEE91F" w:rsidR="006715B9" w:rsidRPr="00D03A86" w:rsidRDefault="006715B9" w:rsidP="00940136">
      <w:pPr>
        <w:spacing w:after="0" w:line="240" w:lineRule="auto"/>
        <w:jc w:val="both"/>
        <w:rPr>
          <w:szCs w:val="24"/>
        </w:rPr>
      </w:pPr>
    </w:p>
    <w:p w14:paraId="39C47A50" w14:textId="77777777" w:rsidR="009D5872" w:rsidRPr="00D03A86" w:rsidRDefault="009D5872" w:rsidP="00940136">
      <w:pPr>
        <w:pStyle w:val="Heading3"/>
        <w:spacing w:before="0" w:line="240" w:lineRule="auto"/>
        <w:jc w:val="both"/>
        <w:rPr>
          <w:szCs w:val="24"/>
        </w:rPr>
      </w:pPr>
      <w:r w:rsidRPr="00D03A86">
        <w:rPr>
          <w:szCs w:val="24"/>
        </w:rPr>
        <w:t>Implementation and outcomes</w:t>
      </w:r>
    </w:p>
    <w:p w14:paraId="67A112E9" w14:textId="439D3532" w:rsidR="00AB695E" w:rsidRPr="00D03A86" w:rsidRDefault="00AB695E" w:rsidP="00940136">
      <w:pPr>
        <w:spacing w:after="0" w:line="240" w:lineRule="auto"/>
        <w:jc w:val="both"/>
        <w:rPr>
          <w:szCs w:val="24"/>
        </w:rPr>
      </w:pPr>
    </w:p>
    <w:p w14:paraId="3B19B665" w14:textId="77777777" w:rsidR="00673C5E" w:rsidRPr="00D03A86" w:rsidRDefault="00673C5E" w:rsidP="00673C5E">
      <w:pPr>
        <w:spacing w:after="0" w:line="240" w:lineRule="auto"/>
        <w:jc w:val="both"/>
        <w:rPr>
          <w:i/>
          <w:color w:val="4F81BD" w:themeColor="accent1"/>
        </w:rPr>
      </w:pPr>
      <w:bookmarkStart w:id="5" w:name="_Hlk524097094"/>
      <w:r w:rsidRPr="00D03A86">
        <w:rPr>
          <w:i/>
          <w:color w:val="4F81BD" w:themeColor="accent1"/>
        </w:rPr>
        <w:t>Evidence of the practical implementation, including where possible the number of persons assessed, average waiting times, and the assessment outcomes.</w:t>
      </w:r>
    </w:p>
    <w:bookmarkEnd w:id="5"/>
    <w:p w14:paraId="010E897F" w14:textId="77777777" w:rsidR="00673C5E" w:rsidRPr="00D03A86" w:rsidRDefault="00673C5E" w:rsidP="00940136">
      <w:pPr>
        <w:spacing w:after="0" w:line="240" w:lineRule="auto"/>
        <w:jc w:val="both"/>
        <w:rPr>
          <w:szCs w:val="24"/>
        </w:rPr>
      </w:pPr>
    </w:p>
    <w:p w14:paraId="494A15B4" w14:textId="024514C5" w:rsidR="000B244D" w:rsidRPr="00D03A86" w:rsidRDefault="00E92E9A" w:rsidP="00940136">
      <w:pPr>
        <w:spacing w:after="0" w:line="240" w:lineRule="auto"/>
        <w:jc w:val="both"/>
        <w:rPr>
          <w:szCs w:val="24"/>
        </w:rPr>
      </w:pPr>
      <w:r w:rsidRPr="00D03A86">
        <w:rPr>
          <w:szCs w:val="24"/>
        </w:rPr>
        <w:t xml:space="preserve">There has been one independent </w:t>
      </w:r>
      <w:r w:rsidR="00AB695E" w:rsidRPr="00D03A86">
        <w:rPr>
          <w:szCs w:val="24"/>
        </w:rPr>
        <w:t xml:space="preserve">evaluation </w:t>
      </w:r>
      <w:r w:rsidRPr="00D03A86">
        <w:rPr>
          <w:szCs w:val="24"/>
        </w:rPr>
        <w:t xml:space="preserve">of the operation of the Centre for Certification of Disability (KEPA) carried out </w:t>
      </w:r>
      <w:r w:rsidR="00AB695E" w:rsidRPr="00D03A86">
        <w:rPr>
          <w:szCs w:val="24"/>
        </w:rPr>
        <w:t>by the Greek Ombudsman in 2013</w:t>
      </w:r>
      <w:r w:rsidR="008C16E8" w:rsidRPr="00D03A86">
        <w:rPr>
          <w:szCs w:val="24"/>
        </w:rPr>
        <w:t>.</w:t>
      </w:r>
      <w:r w:rsidR="00AB695E" w:rsidRPr="00D03A86">
        <w:rPr>
          <w:rStyle w:val="FootnoteReference"/>
          <w:szCs w:val="24"/>
        </w:rPr>
        <w:footnoteReference w:id="12"/>
      </w:r>
      <w:r w:rsidR="00AB695E" w:rsidRPr="00D03A86">
        <w:rPr>
          <w:szCs w:val="24"/>
        </w:rPr>
        <w:t xml:space="preserve"> According to the </w:t>
      </w:r>
      <w:r w:rsidRPr="00D03A86">
        <w:rPr>
          <w:szCs w:val="24"/>
        </w:rPr>
        <w:t>report,</w:t>
      </w:r>
      <w:r w:rsidR="00AB695E" w:rsidRPr="00D03A86">
        <w:rPr>
          <w:szCs w:val="24"/>
        </w:rPr>
        <w:t xml:space="preserve"> </w:t>
      </w:r>
      <w:r w:rsidR="0063409A" w:rsidRPr="00D03A86">
        <w:rPr>
          <w:szCs w:val="24"/>
        </w:rPr>
        <w:t>there had</w:t>
      </w:r>
      <w:r w:rsidR="00AB695E" w:rsidRPr="00D03A86">
        <w:rPr>
          <w:szCs w:val="24"/>
        </w:rPr>
        <w:t xml:space="preserve"> been more than 350 citizens’ complaints since </w:t>
      </w:r>
      <w:r w:rsidRPr="00D03A86">
        <w:rPr>
          <w:szCs w:val="24"/>
        </w:rPr>
        <w:t xml:space="preserve">the start of its operation in </w:t>
      </w:r>
      <w:r w:rsidR="00AB695E" w:rsidRPr="00D03A86">
        <w:rPr>
          <w:szCs w:val="24"/>
        </w:rPr>
        <w:t>2011</w:t>
      </w:r>
      <w:r w:rsidRPr="00D03A86">
        <w:rPr>
          <w:szCs w:val="24"/>
        </w:rPr>
        <w:t>, about</w:t>
      </w:r>
      <w:r w:rsidR="00AB695E" w:rsidRPr="00D03A86">
        <w:rPr>
          <w:szCs w:val="24"/>
        </w:rPr>
        <w:t xml:space="preserve"> partial or full exclusion from </w:t>
      </w:r>
      <w:r w:rsidRPr="00D03A86">
        <w:rPr>
          <w:szCs w:val="24"/>
        </w:rPr>
        <w:t>disability provisions, including</w:t>
      </w:r>
      <w:r w:rsidR="00AB695E" w:rsidRPr="00D03A86">
        <w:rPr>
          <w:szCs w:val="24"/>
        </w:rPr>
        <w:t xml:space="preserve"> </w:t>
      </w:r>
      <w:r w:rsidRPr="00D03A86">
        <w:rPr>
          <w:szCs w:val="24"/>
        </w:rPr>
        <w:t xml:space="preserve">benefits, </w:t>
      </w:r>
      <w:r w:rsidR="00AB695E" w:rsidRPr="00D03A86">
        <w:rPr>
          <w:szCs w:val="24"/>
        </w:rPr>
        <w:t>pensions</w:t>
      </w:r>
      <w:r w:rsidRPr="00D03A86">
        <w:rPr>
          <w:szCs w:val="24"/>
        </w:rPr>
        <w:t xml:space="preserve"> and healthcare</w:t>
      </w:r>
      <w:r w:rsidR="00AB695E" w:rsidRPr="00D03A86">
        <w:rPr>
          <w:szCs w:val="24"/>
        </w:rPr>
        <w:t xml:space="preserve">, which </w:t>
      </w:r>
      <w:r w:rsidR="00983D2B" w:rsidRPr="00D03A86">
        <w:rPr>
          <w:szCs w:val="24"/>
        </w:rPr>
        <w:t xml:space="preserve">had </w:t>
      </w:r>
      <w:r w:rsidR="00AB695E" w:rsidRPr="00D03A86">
        <w:rPr>
          <w:szCs w:val="24"/>
        </w:rPr>
        <w:t>result</w:t>
      </w:r>
      <w:r w:rsidR="00983D2B" w:rsidRPr="00D03A86">
        <w:rPr>
          <w:szCs w:val="24"/>
        </w:rPr>
        <w:t>ed</w:t>
      </w:r>
      <w:r w:rsidR="00AB695E" w:rsidRPr="00D03A86">
        <w:rPr>
          <w:szCs w:val="24"/>
        </w:rPr>
        <w:t xml:space="preserve"> as much from </w:t>
      </w:r>
      <w:r w:rsidR="00983D2B" w:rsidRPr="00D03A86">
        <w:rPr>
          <w:szCs w:val="24"/>
        </w:rPr>
        <w:t>organizational</w:t>
      </w:r>
      <w:r w:rsidR="00AB695E" w:rsidRPr="00D03A86">
        <w:rPr>
          <w:szCs w:val="24"/>
        </w:rPr>
        <w:t xml:space="preserve"> failures (such as long delays</w:t>
      </w:r>
      <w:r w:rsidR="00983D2B" w:rsidRPr="00D03A86">
        <w:rPr>
          <w:szCs w:val="24"/>
        </w:rPr>
        <w:t xml:space="preserve"> or gaps between reassessments) as from </w:t>
      </w:r>
      <w:r w:rsidR="00567B61" w:rsidRPr="00D03A86">
        <w:rPr>
          <w:szCs w:val="24"/>
        </w:rPr>
        <w:t xml:space="preserve">new </w:t>
      </w:r>
      <w:r w:rsidR="00F35B3A" w:rsidRPr="00D03A86">
        <w:rPr>
          <w:szCs w:val="24"/>
        </w:rPr>
        <w:t>assessment</w:t>
      </w:r>
      <w:r w:rsidR="00567B61" w:rsidRPr="00D03A86">
        <w:rPr>
          <w:szCs w:val="24"/>
        </w:rPr>
        <w:t xml:space="preserve">s attributing </w:t>
      </w:r>
      <w:r w:rsidR="00F35B3A" w:rsidRPr="00D03A86">
        <w:rPr>
          <w:szCs w:val="24"/>
        </w:rPr>
        <w:t xml:space="preserve">reduced percentage of disability to people who under the </w:t>
      </w:r>
      <w:r w:rsidR="00567B61" w:rsidRPr="00D03A86">
        <w:rPr>
          <w:szCs w:val="24"/>
        </w:rPr>
        <w:t xml:space="preserve">previous system </w:t>
      </w:r>
      <w:r w:rsidR="000076E7" w:rsidRPr="00D03A86">
        <w:rPr>
          <w:szCs w:val="24"/>
        </w:rPr>
        <w:t xml:space="preserve">had been assessed as having higher disability percentage and </w:t>
      </w:r>
      <w:r w:rsidR="00567B61" w:rsidRPr="00D03A86">
        <w:rPr>
          <w:szCs w:val="24"/>
        </w:rPr>
        <w:t>were</w:t>
      </w:r>
      <w:r w:rsidR="000076E7" w:rsidRPr="00D03A86">
        <w:rPr>
          <w:szCs w:val="24"/>
        </w:rPr>
        <w:t xml:space="preserve"> </w:t>
      </w:r>
      <w:r w:rsidR="000076E7" w:rsidRPr="00D03A86">
        <w:rPr>
          <w:szCs w:val="24"/>
        </w:rPr>
        <w:lastRenderedPageBreak/>
        <w:t>thus</w:t>
      </w:r>
      <w:r w:rsidR="00567B61" w:rsidRPr="00D03A86">
        <w:rPr>
          <w:szCs w:val="24"/>
        </w:rPr>
        <w:t xml:space="preserve"> </w:t>
      </w:r>
      <w:r w:rsidR="00E65B5B" w:rsidRPr="00D03A86">
        <w:rPr>
          <w:szCs w:val="24"/>
        </w:rPr>
        <w:t xml:space="preserve">previously </w:t>
      </w:r>
      <w:r w:rsidR="00567B61" w:rsidRPr="00D03A86">
        <w:rPr>
          <w:szCs w:val="24"/>
        </w:rPr>
        <w:t xml:space="preserve">eligible for various provisions. </w:t>
      </w:r>
      <w:r w:rsidR="00EA27A3" w:rsidRPr="00D03A86">
        <w:rPr>
          <w:szCs w:val="24"/>
        </w:rPr>
        <w:t xml:space="preserve">In the latter case, the Greek Ombudsman </w:t>
      </w:r>
      <w:r w:rsidR="0058345B" w:rsidRPr="00D03A86">
        <w:rPr>
          <w:szCs w:val="24"/>
        </w:rPr>
        <w:t xml:space="preserve">had </w:t>
      </w:r>
      <w:r w:rsidR="00EA27A3" w:rsidRPr="00D03A86">
        <w:rPr>
          <w:szCs w:val="24"/>
        </w:rPr>
        <w:t>pointed to insufficiently justified decisions by the committees or</w:t>
      </w:r>
      <w:r w:rsidR="00AB695E" w:rsidRPr="00D03A86">
        <w:rPr>
          <w:szCs w:val="24"/>
        </w:rPr>
        <w:t xml:space="preserve"> objections</w:t>
      </w:r>
      <w:r w:rsidR="003E505D" w:rsidRPr="00D03A86">
        <w:rPr>
          <w:szCs w:val="24"/>
        </w:rPr>
        <w:t xml:space="preserve"> to (higher) percentages </w:t>
      </w:r>
      <w:r w:rsidR="00EA27A3" w:rsidRPr="00D03A86">
        <w:rPr>
          <w:szCs w:val="24"/>
        </w:rPr>
        <w:t>raised by</w:t>
      </w:r>
      <w:r w:rsidR="00F35B3A" w:rsidRPr="00D03A86">
        <w:rPr>
          <w:szCs w:val="24"/>
        </w:rPr>
        <w:t xml:space="preserve"> the administration</w:t>
      </w:r>
      <w:r w:rsidR="00E65B5B" w:rsidRPr="00D03A86">
        <w:rPr>
          <w:szCs w:val="24"/>
        </w:rPr>
        <w:t>, which resulted in long periods of exclusion from healthcare and disability provisions</w:t>
      </w:r>
      <w:r w:rsidR="005971E7" w:rsidRPr="00D03A86">
        <w:rPr>
          <w:szCs w:val="24"/>
        </w:rPr>
        <w:t xml:space="preserve">, “proving futile and </w:t>
      </w:r>
      <w:r w:rsidR="0052469D" w:rsidRPr="00D03A86">
        <w:rPr>
          <w:szCs w:val="24"/>
        </w:rPr>
        <w:t>hampering as much for the insured as for the security system” (Greek Ombudsman, 2013, p.11)</w:t>
      </w:r>
      <w:r w:rsidR="00E620E8" w:rsidRPr="00D03A86">
        <w:rPr>
          <w:szCs w:val="24"/>
        </w:rPr>
        <w:t xml:space="preserve"> </w:t>
      </w:r>
      <w:r w:rsidR="003E505D" w:rsidRPr="00D03A86">
        <w:rPr>
          <w:szCs w:val="24"/>
        </w:rPr>
        <w:t xml:space="preserve">The Ombudsman </w:t>
      </w:r>
      <w:r w:rsidR="000B244D" w:rsidRPr="00D03A86">
        <w:rPr>
          <w:szCs w:val="24"/>
        </w:rPr>
        <w:t xml:space="preserve">had </w:t>
      </w:r>
      <w:r w:rsidR="003E505D" w:rsidRPr="00D03A86">
        <w:rPr>
          <w:szCs w:val="24"/>
        </w:rPr>
        <w:t xml:space="preserve">raised concerns over exclusive focus on diagnosis rather than full consideration of symptoms, needs, possible </w:t>
      </w:r>
      <w:r w:rsidR="0063409A" w:rsidRPr="00D03A86">
        <w:rPr>
          <w:szCs w:val="24"/>
        </w:rPr>
        <w:t>side-effects or ineffectiveness of medical treatment followed</w:t>
      </w:r>
      <w:r w:rsidR="008C16E8" w:rsidRPr="00D03A86">
        <w:rPr>
          <w:szCs w:val="24"/>
        </w:rPr>
        <w:t>.</w:t>
      </w:r>
      <w:r w:rsidR="0063409A" w:rsidRPr="00D03A86">
        <w:rPr>
          <w:rStyle w:val="FootnoteReference"/>
          <w:szCs w:val="24"/>
        </w:rPr>
        <w:footnoteReference w:id="13"/>
      </w:r>
      <w:r w:rsidR="000B244D" w:rsidRPr="00D03A86">
        <w:rPr>
          <w:szCs w:val="24"/>
        </w:rPr>
        <w:t xml:space="preserve"> </w:t>
      </w:r>
    </w:p>
    <w:p w14:paraId="2F3A6B10" w14:textId="77777777" w:rsidR="0055117D" w:rsidRPr="00D03A86" w:rsidRDefault="0055117D" w:rsidP="00940136">
      <w:pPr>
        <w:spacing w:after="0" w:line="240" w:lineRule="auto"/>
        <w:jc w:val="both"/>
        <w:rPr>
          <w:szCs w:val="24"/>
        </w:rPr>
      </w:pPr>
    </w:p>
    <w:p w14:paraId="78196F68" w14:textId="79A29B4C" w:rsidR="00A30D5F" w:rsidRPr="00D03A86" w:rsidRDefault="000B244D" w:rsidP="00940136">
      <w:pPr>
        <w:spacing w:after="0" w:line="240" w:lineRule="auto"/>
        <w:jc w:val="both"/>
        <w:rPr>
          <w:szCs w:val="24"/>
        </w:rPr>
      </w:pPr>
      <w:r w:rsidRPr="00D03A86">
        <w:rPr>
          <w:szCs w:val="24"/>
        </w:rPr>
        <w:t xml:space="preserve">It is worth mentioning that </w:t>
      </w:r>
      <w:r w:rsidR="007C2655" w:rsidRPr="00D03A86">
        <w:rPr>
          <w:szCs w:val="24"/>
        </w:rPr>
        <w:t xml:space="preserve">long </w:t>
      </w:r>
      <w:r w:rsidRPr="00D03A86">
        <w:rPr>
          <w:szCs w:val="24"/>
        </w:rPr>
        <w:t xml:space="preserve">delays in assessment processes were tackled by </w:t>
      </w:r>
      <w:r w:rsidR="00B1477D" w:rsidRPr="00D03A86">
        <w:rPr>
          <w:szCs w:val="24"/>
        </w:rPr>
        <w:t>Law 4331/2015</w:t>
      </w:r>
      <w:r w:rsidR="00FD5366" w:rsidRPr="00D03A86">
        <w:rPr>
          <w:rStyle w:val="FootnoteReference"/>
          <w:szCs w:val="24"/>
        </w:rPr>
        <w:footnoteReference w:id="14"/>
      </w:r>
      <w:r w:rsidR="00B1477D" w:rsidRPr="00D03A86">
        <w:rPr>
          <w:szCs w:val="24"/>
        </w:rPr>
        <w:t xml:space="preserve"> making it possible</w:t>
      </w:r>
      <w:r w:rsidRPr="00D03A86">
        <w:rPr>
          <w:szCs w:val="24"/>
        </w:rPr>
        <w:t xml:space="preserve"> to extend provisions until the date of reassessment</w:t>
      </w:r>
      <w:r w:rsidR="005E0ED2" w:rsidRPr="00D03A86">
        <w:rPr>
          <w:szCs w:val="24"/>
        </w:rPr>
        <w:t>,</w:t>
      </w:r>
      <w:r w:rsidR="000F712B" w:rsidRPr="00D03A86">
        <w:rPr>
          <w:szCs w:val="24"/>
        </w:rPr>
        <w:t xml:space="preserve"> while a list of 43 impairments which did not require reassessment </w:t>
      </w:r>
      <w:r w:rsidR="002E1D10" w:rsidRPr="00D03A86">
        <w:rPr>
          <w:szCs w:val="24"/>
        </w:rPr>
        <w:t>had</w:t>
      </w:r>
      <w:r w:rsidR="000F712B" w:rsidRPr="00D03A86">
        <w:rPr>
          <w:szCs w:val="24"/>
        </w:rPr>
        <w:t xml:space="preserve"> also</w:t>
      </w:r>
      <w:r w:rsidR="002E1D10" w:rsidRPr="00D03A86">
        <w:rPr>
          <w:szCs w:val="24"/>
        </w:rPr>
        <w:t xml:space="preserve"> been put</w:t>
      </w:r>
      <w:r w:rsidR="000F712B" w:rsidRPr="00D03A86">
        <w:rPr>
          <w:szCs w:val="24"/>
        </w:rPr>
        <w:t xml:space="preserve"> in place</w:t>
      </w:r>
      <w:r w:rsidR="002E1D10" w:rsidRPr="00D03A86">
        <w:rPr>
          <w:szCs w:val="24"/>
        </w:rPr>
        <w:t xml:space="preserve"> (Ministerial Decision 2013</w:t>
      </w:r>
      <w:r w:rsidR="008C16E8" w:rsidRPr="00D03A86">
        <w:rPr>
          <w:szCs w:val="24"/>
        </w:rPr>
        <w:t>),</w:t>
      </w:r>
      <w:r w:rsidR="002E1D10" w:rsidRPr="00D03A86">
        <w:rPr>
          <w:rStyle w:val="FootnoteReference"/>
          <w:szCs w:val="24"/>
        </w:rPr>
        <w:footnoteReference w:id="15"/>
      </w:r>
      <w:r w:rsidR="00C861F3" w:rsidRPr="00D03A86">
        <w:rPr>
          <w:szCs w:val="24"/>
        </w:rPr>
        <w:t xml:space="preserve"> including for instance paraplegia/tetraplegia, amputations, hearing impairment, visual impairment, genetic syndromes, intellectual impairments, </w:t>
      </w:r>
      <w:r w:rsidR="002A2708" w:rsidRPr="00D03A86">
        <w:rPr>
          <w:szCs w:val="24"/>
        </w:rPr>
        <w:t xml:space="preserve">or </w:t>
      </w:r>
      <w:r w:rsidR="00C861F3" w:rsidRPr="00D03A86">
        <w:rPr>
          <w:szCs w:val="24"/>
        </w:rPr>
        <w:t xml:space="preserve">autistic spectrum </w:t>
      </w:r>
      <w:r w:rsidR="00365CE3" w:rsidRPr="00D03A86">
        <w:rPr>
          <w:szCs w:val="24"/>
        </w:rPr>
        <w:t>disorders. Lobbying</w:t>
      </w:r>
      <w:r w:rsidR="005E0ED2" w:rsidRPr="00D03A86">
        <w:rPr>
          <w:szCs w:val="24"/>
        </w:rPr>
        <w:t xml:space="preserve"> </w:t>
      </w:r>
      <w:r w:rsidR="00EE0269" w:rsidRPr="00D03A86">
        <w:rPr>
          <w:szCs w:val="24"/>
        </w:rPr>
        <w:t xml:space="preserve">by </w:t>
      </w:r>
      <w:r w:rsidR="003327C4" w:rsidRPr="00D03A86">
        <w:rPr>
          <w:szCs w:val="24"/>
        </w:rPr>
        <w:t>the disability movement</w:t>
      </w:r>
      <w:r w:rsidR="00A84BB4" w:rsidRPr="00D03A86">
        <w:rPr>
          <w:szCs w:val="24"/>
        </w:rPr>
        <w:t xml:space="preserve"> </w:t>
      </w:r>
      <w:r w:rsidR="005E0ED2" w:rsidRPr="00D03A86">
        <w:rPr>
          <w:szCs w:val="24"/>
        </w:rPr>
        <w:t xml:space="preserve">also played </w:t>
      </w:r>
      <w:r w:rsidR="007C2655" w:rsidRPr="00D03A86">
        <w:rPr>
          <w:szCs w:val="24"/>
        </w:rPr>
        <w:t xml:space="preserve">a significant role </w:t>
      </w:r>
      <w:r w:rsidR="003327C4" w:rsidRPr="00D03A86">
        <w:rPr>
          <w:szCs w:val="24"/>
        </w:rPr>
        <w:t>in making th</w:t>
      </w:r>
      <w:r w:rsidR="00EE0269" w:rsidRPr="00D03A86">
        <w:rPr>
          <w:szCs w:val="24"/>
        </w:rPr>
        <w:t>ese</w:t>
      </w:r>
      <w:r w:rsidR="003327C4" w:rsidRPr="00D03A86">
        <w:rPr>
          <w:szCs w:val="24"/>
        </w:rPr>
        <w:t xml:space="preserve"> change</w:t>
      </w:r>
      <w:r w:rsidR="00EE0269" w:rsidRPr="00D03A86">
        <w:rPr>
          <w:szCs w:val="24"/>
        </w:rPr>
        <w:t>s</w:t>
      </w:r>
      <w:r w:rsidR="003327C4" w:rsidRPr="00D03A86">
        <w:rPr>
          <w:szCs w:val="24"/>
        </w:rPr>
        <w:t xml:space="preserve"> </w:t>
      </w:r>
      <w:r w:rsidR="007C2655" w:rsidRPr="00D03A86">
        <w:rPr>
          <w:szCs w:val="24"/>
        </w:rPr>
        <w:t>(Pavli, 2017</w:t>
      </w:r>
      <w:r w:rsidR="006A466B" w:rsidRPr="00D03A86">
        <w:rPr>
          <w:szCs w:val="24"/>
        </w:rPr>
        <w:t>)</w:t>
      </w:r>
      <w:r w:rsidR="00A84BB4" w:rsidRPr="00D03A86">
        <w:rPr>
          <w:szCs w:val="24"/>
        </w:rPr>
        <w:t>.</w:t>
      </w:r>
    </w:p>
    <w:p w14:paraId="341E2642" w14:textId="77777777" w:rsidR="00A84BB4" w:rsidRPr="00D03A86" w:rsidRDefault="00A84BB4" w:rsidP="00940136">
      <w:pPr>
        <w:spacing w:after="0" w:line="240" w:lineRule="auto"/>
        <w:jc w:val="both"/>
        <w:rPr>
          <w:szCs w:val="24"/>
        </w:rPr>
      </w:pPr>
    </w:p>
    <w:p w14:paraId="0F331908" w14:textId="5F93EE10" w:rsidR="00A30D5F" w:rsidRPr="00D03A86" w:rsidRDefault="00A30D5F" w:rsidP="00940136">
      <w:pPr>
        <w:spacing w:after="0" w:line="240" w:lineRule="auto"/>
        <w:jc w:val="both"/>
        <w:rPr>
          <w:szCs w:val="24"/>
        </w:rPr>
      </w:pPr>
      <w:r w:rsidRPr="00D03A86">
        <w:rPr>
          <w:szCs w:val="24"/>
        </w:rPr>
        <w:t xml:space="preserve">The implementation of the streamlined assessment system was described </w:t>
      </w:r>
      <w:r w:rsidR="00EF4904" w:rsidRPr="00D03A86">
        <w:rPr>
          <w:szCs w:val="24"/>
        </w:rPr>
        <w:t xml:space="preserve">favourably </w:t>
      </w:r>
      <w:r w:rsidRPr="00D03A86">
        <w:rPr>
          <w:szCs w:val="24"/>
        </w:rPr>
        <w:t xml:space="preserve">by the chairman of the National Federation of Disabled People in 2016 as going through “a period of </w:t>
      </w:r>
      <w:proofErr w:type="spellStart"/>
      <w:r w:rsidRPr="00D03A86">
        <w:rPr>
          <w:szCs w:val="24"/>
        </w:rPr>
        <w:t>tranquility</w:t>
      </w:r>
      <w:proofErr w:type="spellEnd"/>
      <w:r w:rsidRPr="00D03A86">
        <w:rPr>
          <w:szCs w:val="24"/>
        </w:rPr>
        <w:t xml:space="preserve">”, while the head of the Directorate of Disability and Occupational Health in charge at the time also </w:t>
      </w:r>
      <w:r w:rsidR="000C3FDC" w:rsidRPr="00D03A86">
        <w:rPr>
          <w:szCs w:val="24"/>
        </w:rPr>
        <w:t>emphasized</w:t>
      </w:r>
      <w:r w:rsidRPr="00D03A86">
        <w:rPr>
          <w:szCs w:val="24"/>
        </w:rPr>
        <w:t xml:space="preserve"> the </w:t>
      </w:r>
      <w:r w:rsidR="000C3FDC" w:rsidRPr="00D03A86">
        <w:rPr>
          <w:szCs w:val="24"/>
        </w:rPr>
        <w:t>responsiveness</w:t>
      </w:r>
      <w:r w:rsidRPr="00D03A86">
        <w:rPr>
          <w:szCs w:val="24"/>
        </w:rPr>
        <w:t xml:space="preserve"> of the body </w:t>
      </w:r>
      <w:r w:rsidR="00A97211" w:rsidRPr="00D03A86">
        <w:rPr>
          <w:szCs w:val="24"/>
        </w:rPr>
        <w:t>to problems identified</w:t>
      </w:r>
      <w:r w:rsidRPr="00D03A86">
        <w:rPr>
          <w:szCs w:val="24"/>
        </w:rPr>
        <w:t xml:space="preserve"> (Pavli 2017, p. 262)</w:t>
      </w:r>
      <w:r w:rsidR="00E32304" w:rsidRPr="00D03A86">
        <w:rPr>
          <w:szCs w:val="24"/>
        </w:rPr>
        <w:t>.</w:t>
      </w:r>
    </w:p>
    <w:p w14:paraId="4920D33F" w14:textId="77777777" w:rsidR="00EA22D7" w:rsidRPr="00D03A86" w:rsidRDefault="00EA22D7" w:rsidP="00940136">
      <w:pPr>
        <w:spacing w:after="0" w:line="240" w:lineRule="auto"/>
        <w:jc w:val="both"/>
        <w:rPr>
          <w:szCs w:val="24"/>
        </w:rPr>
      </w:pPr>
    </w:p>
    <w:p w14:paraId="6C578906" w14:textId="19B61298" w:rsidR="00867997" w:rsidRPr="00D03A86" w:rsidRDefault="006F658D" w:rsidP="00940136">
      <w:pPr>
        <w:spacing w:after="0" w:line="240" w:lineRule="auto"/>
        <w:jc w:val="both"/>
        <w:rPr>
          <w:szCs w:val="24"/>
        </w:rPr>
      </w:pPr>
      <w:r w:rsidRPr="00D03A86">
        <w:rPr>
          <w:szCs w:val="24"/>
        </w:rPr>
        <w:t>More recently, a briefing paper submitted jointly by national associations for the rights of people in the autistic spectrum</w:t>
      </w:r>
      <w:r w:rsidR="00634C10" w:rsidRPr="00D03A86">
        <w:rPr>
          <w:szCs w:val="24"/>
        </w:rPr>
        <w:t xml:space="preserve"> in view of recent modifications to the assessment process</w:t>
      </w:r>
      <w:r w:rsidRPr="00D03A86">
        <w:rPr>
          <w:szCs w:val="24"/>
        </w:rPr>
        <w:t>, specifically requested easier</w:t>
      </w:r>
      <w:r w:rsidR="00867997" w:rsidRPr="00D03A86">
        <w:rPr>
          <w:szCs w:val="24"/>
        </w:rPr>
        <w:t xml:space="preserve"> access to </w:t>
      </w:r>
      <w:r w:rsidRPr="00D03A86">
        <w:rPr>
          <w:szCs w:val="24"/>
        </w:rPr>
        <w:t xml:space="preserve">the </w:t>
      </w:r>
      <w:r w:rsidR="00867997" w:rsidRPr="00D03A86">
        <w:rPr>
          <w:szCs w:val="24"/>
        </w:rPr>
        <w:t xml:space="preserve">application folder and </w:t>
      </w:r>
      <w:r w:rsidR="00EE0269" w:rsidRPr="00D03A86">
        <w:rPr>
          <w:szCs w:val="24"/>
        </w:rPr>
        <w:t xml:space="preserve">notes on the </w:t>
      </w:r>
      <w:r w:rsidRPr="00D03A86">
        <w:rPr>
          <w:szCs w:val="24"/>
        </w:rPr>
        <w:t xml:space="preserve">assessment </w:t>
      </w:r>
      <w:r w:rsidR="00EE0269" w:rsidRPr="00D03A86">
        <w:rPr>
          <w:szCs w:val="24"/>
        </w:rPr>
        <w:t>made by the assessing committee</w:t>
      </w:r>
      <w:r w:rsidR="00867997" w:rsidRPr="00D03A86">
        <w:rPr>
          <w:szCs w:val="24"/>
        </w:rPr>
        <w:t xml:space="preserve"> </w:t>
      </w:r>
      <w:r w:rsidRPr="00D03A86">
        <w:rPr>
          <w:szCs w:val="24"/>
        </w:rPr>
        <w:t>i</w:t>
      </w:r>
      <w:r w:rsidR="00867997" w:rsidRPr="00D03A86">
        <w:rPr>
          <w:szCs w:val="24"/>
        </w:rPr>
        <w:t>n the case of</w:t>
      </w:r>
      <w:r w:rsidR="008C149D" w:rsidRPr="00D03A86">
        <w:rPr>
          <w:szCs w:val="24"/>
        </w:rPr>
        <w:t xml:space="preserve"> an</w:t>
      </w:r>
      <w:r w:rsidR="00867997" w:rsidRPr="00D03A86">
        <w:rPr>
          <w:szCs w:val="24"/>
        </w:rPr>
        <w:t xml:space="preserve"> appeal, as well as </w:t>
      </w:r>
      <w:r w:rsidR="008C149D" w:rsidRPr="00D03A86">
        <w:rPr>
          <w:szCs w:val="24"/>
        </w:rPr>
        <w:t>prolongation of</w:t>
      </w:r>
      <w:r w:rsidRPr="00D03A86">
        <w:rPr>
          <w:szCs w:val="24"/>
        </w:rPr>
        <w:t xml:space="preserve"> the period within which one can raise an appeal from ten </w:t>
      </w:r>
      <w:r w:rsidR="00867997" w:rsidRPr="00D03A86">
        <w:rPr>
          <w:szCs w:val="24"/>
        </w:rPr>
        <w:t>to 60 days</w:t>
      </w:r>
      <w:r w:rsidR="008C16E8" w:rsidRPr="00D03A86">
        <w:rPr>
          <w:szCs w:val="24"/>
        </w:rPr>
        <w:t>.</w:t>
      </w:r>
      <w:r w:rsidR="005C286B" w:rsidRPr="00D03A86">
        <w:rPr>
          <w:rStyle w:val="FootnoteReference"/>
          <w:szCs w:val="24"/>
        </w:rPr>
        <w:footnoteReference w:id="16"/>
      </w:r>
      <w:r w:rsidR="00867997" w:rsidRPr="00D03A86">
        <w:rPr>
          <w:szCs w:val="24"/>
        </w:rPr>
        <w:t xml:space="preserve"> </w:t>
      </w:r>
    </w:p>
    <w:p w14:paraId="0999FC77" w14:textId="008410E8" w:rsidR="00AB695E" w:rsidRPr="00D03A86" w:rsidRDefault="00AB695E" w:rsidP="00940136">
      <w:pPr>
        <w:spacing w:after="0" w:line="240" w:lineRule="auto"/>
        <w:jc w:val="both"/>
        <w:rPr>
          <w:szCs w:val="24"/>
        </w:rPr>
      </w:pPr>
    </w:p>
    <w:p w14:paraId="14152329" w14:textId="10B1A1D4" w:rsidR="00C724DC" w:rsidRPr="00D03A86" w:rsidRDefault="00C724DC" w:rsidP="00940136">
      <w:pPr>
        <w:pStyle w:val="Heading3"/>
        <w:spacing w:before="0" w:line="240" w:lineRule="auto"/>
        <w:jc w:val="both"/>
        <w:rPr>
          <w:szCs w:val="24"/>
        </w:rPr>
      </w:pPr>
      <w:r w:rsidRPr="00D03A86">
        <w:rPr>
          <w:szCs w:val="24"/>
        </w:rPr>
        <w:t>Evaluation – fitness for purpose</w:t>
      </w:r>
    </w:p>
    <w:p w14:paraId="27A38A64" w14:textId="77777777" w:rsidR="00BC2187" w:rsidRPr="00D03A86" w:rsidRDefault="00BC2187" w:rsidP="00940136">
      <w:pPr>
        <w:spacing w:after="0" w:line="240" w:lineRule="auto"/>
        <w:jc w:val="both"/>
        <w:rPr>
          <w:szCs w:val="24"/>
        </w:rPr>
      </w:pPr>
    </w:p>
    <w:p w14:paraId="7E7456E6" w14:textId="77777777" w:rsidR="00673C5E" w:rsidRPr="00D03A86" w:rsidRDefault="00673C5E" w:rsidP="00673C5E">
      <w:pPr>
        <w:spacing w:after="0" w:line="240" w:lineRule="auto"/>
        <w:jc w:val="both"/>
        <w:rPr>
          <w:i/>
          <w:color w:val="4F81BD" w:themeColor="accent1"/>
        </w:rPr>
      </w:pPr>
      <w:bookmarkStart w:id="6" w:name="_Hlk524097108"/>
      <w:r w:rsidRPr="00D03A86">
        <w:rPr>
          <w:i/>
          <w:color w:val="4F81BD" w:themeColor="accent1"/>
        </w:rPr>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 Please indicate if there is a regular evaluation of the assessment method and, if so, who carries that out. Please include references to evaluations which have been carried out.</w:t>
      </w:r>
    </w:p>
    <w:bookmarkEnd w:id="6"/>
    <w:p w14:paraId="24B2E7D3" w14:textId="77777777" w:rsidR="00673C5E" w:rsidRPr="00D03A86" w:rsidRDefault="00673C5E" w:rsidP="00940136">
      <w:pPr>
        <w:spacing w:after="0" w:line="240" w:lineRule="auto"/>
        <w:jc w:val="both"/>
        <w:rPr>
          <w:szCs w:val="24"/>
        </w:rPr>
      </w:pPr>
    </w:p>
    <w:p w14:paraId="09F95389" w14:textId="79CF6717" w:rsidR="003521B8" w:rsidRPr="00D03A86" w:rsidRDefault="006037CE" w:rsidP="00940136">
      <w:pPr>
        <w:spacing w:after="0" w:line="240" w:lineRule="auto"/>
        <w:jc w:val="both"/>
        <w:rPr>
          <w:szCs w:val="24"/>
        </w:rPr>
      </w:pPr>
      <w:r w:rsidRPr="00D03A86">
        <w:rPr>
          <w:szCs w:val="24"/>
        </w:rPr>
        <w:t xml:space="preserve">It is </w:t>
      </w:r>
      <w:r w:rsidR="0086404E" w:rsidRPr="00D03A86">
        <w:rPr>
          <w:szCs w:val="24"/>
        </w:rPr>
        <w:t>interesting that</w:t>
      </w:r>
      <w:r w:rsidR="007011E6" w:rsidRPr="00D03A86">
        <w:rPr>
          <w:szCs w:val="24"/>
        </w:rPr>
        <w:t>,</w:t>
      </w:r>
      <w:r w:rsidR="0086404E" w:rsidRPr="00D03A86">
        <w:rPr>
          <w:szCs w:val="24"/>
        </w:rPr>
        <w:t xml:space="preserve"> in general</w:t>
      </w:r>
      <w:r w:rsidR="007011E6" w:rsidRPr="00D03A86">
        <w:rPr>
          <w:szCs w:val="24"/>
        </w:rPr>
        <w:t>,</w:t>
      </w:r>
      <w:r w:rsidR="0086404E" w:rsidRPr="00D03A86">
        <w:rPr>
          <w:szCs w:val="24"/>
        </w:rPr>
        <w:t xml:space="preserve"> </w:t>
      </w:r>
      <w:r w:rsidRPr="00D03A86">
        <w:rPr>
          <w:szCs w:val="24"/>
        </w:rPr>
        <w:t>since the early 1990s when the first d</w:t>
      </w:r>
      <w:r w:rsidR="0086404E" w:rsidRPr="00D03A86">
        <w:rPr>
          <w:szCs w:val="24"/>
        </w:rPr>
        <w:t>isability classification system</w:t>
      </w:r>
      <w:r w:rsidRPr="00D03A86">
        <w:rPr>
          <w:szCs w:val="24"/>
        </w:rPr>
        <w:t xml:space="preserve"> </w:t>
      </w:r>
      <w:r w:rsidR="0086404E" w:rsidRPr="00D03A86">
        <w:rPr>
          <w:szCs w:val="24"/>
        </w:rPr>
        <w:t xml:space="preserve">was </w:t>
      </w:r>
      <w:r w:rsidR="003521B8" w:rsidRPr="00D03A86">
        <w:rPr>
          <w:szCs w:val="24"/>
        </w:rPr>
        <w:t>put in place,</w:t>
      </w:r>
      <w:r w:rsidRPr="00D03A86">
        <w:rPr>
          <w:szCs w:val="24"/>
        </w:rPr>
        <w:t xml:space="preserve"> the assessment method that has been </w:t>
      </w:r>
      <w:r w:rsidR="003521B8" w:rsidRPr="00D03A86">
        <w:rPr>
          <w:szCs w:val="24"/>
        </w:rPr>
        <w:t xml:space="preserve">invariably </w:t>
      </w:r>
      <w:r w:rsidRPr="00D03A86">
        <w:rPr>
          <w:szCs w:val="24"/>
        </w:rPr>
        <w:t>used (</w:t>
      </w:r>
      <w:proofErr w:type="spellStart"/>
      <w:r w:rsidRPr="00D03A86">
        <w:rPr>
          <w:szCs w:val="24"/>
        </w:rPr>
        <w:t>Barema</w:t>
      </w:r>
      <w:proofErr w:type="spellEnd"/>
      <w:r w:rsidRPr="00D03A86">
        <w:rPr>
          <w:szCs w:val="24"/>
        </w:rPr>
        <w:t xml:space="preserve"> scale) has </w:t>
      </w:r>
      <w:r w:rsidR="00962850" w:rsidRPr="00D03A86">
        <w:rPr>
          <w:szCs w:val="24"/>
        </w:rPr>
        <w:t>not</w:t>
      </w:r>
      <w:r w:rsidRPr="00D03A86">
        <w:rPr>
          <w:szCs w:val="24"/>
        </w:rPr>
        <w:t xml:space="preserve"> be</w:t>
      </w:r>
      <w:r w:rsidR="005A53C4" w:rsidRPr="00D03A86">
        <w:rPr>
          <w:szCs w:val="24"/>
        </w:rPr>
        <w:t>en critical</w:t>
      </w:r>
      <w:r w:rsidR="00CB2CB6" w:rsidRPr="00D03A86">
        <w:rPr>
          <w:szCs w:val="24"/>
        </w:rPr>
        <w:t>ly evaluated as such. R</w:t>
      </w:r>
      <w:r w:rsidR="00426E12" w:rsidRPr="00D03A86">
        <w:rPr>
          <w:szCs w:val="24"/>
        </w:rPr>
        <w:t xml:space="preserve">epresentative disability organisations have only challenged </w:t>
      </w:r>
      <w:r w:rsidR="007011E6" w:rsidRPr="00D03A86">
        <w:rPr>
          <w:szCs w:val="24"/>
        </w:rPr>
        <w:t xml:space="preserve">specific </w:t>
      </w:r>
      <w:r w:rsidR="00757930" w:rsidRPr="00D03A86">
        <w:rPr>
          <w:szCs w:val="24"/>
        </w:rPr>
        <w:t xml:space="preserve">aspects of it, particularly in cases </w:t>
      </w:r>
      <w:r w:rsidR="00757930" w:rsidRPr="00D03A86">
        <w:rPr>
          <w:szCs w:val="24"/>
        </w:rPr>
        <w:lastRenderedPageBreak/>
        <w:t xml:space="preserve">where eligibility to pensions and benefits </w:t>
      </w:r>
      <w:r w:rsidR="00F83921" w:rsidRPr="00D03A86">
        <w:rPr>
          <w:szCs w:val="24"/>
        </w:rPr>
        <w:t>has been</w:t>
      </w:r>
      <w:r w:rsidR="00757930" w:rsidRPr="00D03A86">
        <w:rPr>
          <w:szCs w:val="24"/>
        </w:rPr>
        <w:t xml:space="preserve"> threatened</w:t>
      </w:r>
      <w:r w:rsidR="0015742E" w:rsidRPr="00D03A86">
        <w:rPr>
          <w:szCs w:val="24"/>
        </w:rPr>
        <w:t xml:space="preserve">. There are different contextual factors that possibly explain that. </w:t>
      </w:r>
    </w:p>
    <w:p w14:paraId="39AA0100" w14:textId="77777777" w:rsidR="003521B8" w:rsidRPr="00D03A86" w:rsidRDefault="003521B8" w:rsidP="00940136">
      <w:pPr>
        <w:spacing w:after="0" w:line="240" w:lineRule="auto"/>
        <w:jc w:val="both"/>
        <w:rPr>
          <w:szCs w:val="24"/>
        </w:rPr>
      </w:pPr>
    </w:p>
    <w:p w14:paraId="2F659341" w14:textId="0F6352FB" w:rsidR="00DD57FC" w:rsidRPr="00D03A86" w:rsidRDefault="009577A5" w:rsidP="00940136">
      <w:pPr>
        <w:spacing w:after="0" w:line="240" w:lineRule="auto"/>
        <w:jc w:val="both"/>
        <w:rPr>
          <w:szCs w:val="24"/>
        </w:rPr>
      </w:pPr>
      <w:r w:rsidRPr="00D03A86">
        <w:rPr>
          <w:szCs w:val="24"/>
        </w:rPr>
        <w:t xml:space="preserve">According to the accounts of the actors involved in the development of </w:t>
      </w:r>
      <w:r w:rsidR="00FC499A" w:rsidRPr="00D03A86">
        <w:rPr>
          <w:szCs w:val="24"/>
        </w:rPr>
        <w:t xml:space="preserve">the </w:t>
      </w:r>
      <w:r w:rsidRPr="00D03A86">
        <w:rPr>
          <w:szCs w:val="24"/>
        </w:rPr>
        <w:t>disability assessment system</w:t>
      </w:r>
      <w:r w:rsidR="00EC0CE1" w:rsidRPr="00D03A86">
        <w:rPr>
          <w:szCs w:val="24"/>
        </w:rPr>
        <w:t>, including disability organisations</w:t>
      </w:r>
      <w:r w:rsidRPr="00D03A86">
        <w:rPr>
          <w:szCs w:val="24"/>
        </w:rPr>
        <w:t xml:space="preserve"> (Pavli 2017),</w:t>
      </w:r>
      <w:r w:rsidR="003521B8" w:rsidRPr="00D03A86">
        <w:rPr>
          <w:szCs w:val="24"/>
        </w:rPr>
        <w:t xml:space="preserve"> attention </w:t>
      </w:r>
      <w:r w:rsidRPr="00D03A86">
        <w:rPr>
          <w:szCs w:val="24"/>
        </w:rPr>
        <w:t>had</w:t>
      </w:r>
      <w:r w:rsidR="005B7395" w:rsidRPr="00D03A86">
        <w:rPr>
          <w:szCs w:val="24"/>
        </w:rPr>
        <w:t xml:space="preserve"> primarily</w:t>
      </w:r>
      <w:r w:rsidR="003521B8" w:rsidRPr="00D03A86">
        <w:rPr>
          <w:szCs w:val="24"/>
        </w:rPr>
        <w:t xml:space="preserve"> </w:t>
      </w:r>
      <w:r w:rsidRPr="00D03A86">
        <w:rPr>
          <w:szCs w:val="24"/>
        </w:rPr>
        <w:t>focused</w:t>
      </w:r>
      <w:r w:rsidR="003521B8" w:rsidRPr="00D03A86">
        <w:rPr>
          <w:szCs w:val="24"/>
        </w:rPr>
        <w:t xml:space="preserve"> on </w:t>
      </w:r>
      <w:r w:rsidRPr="00D03A86">
        <w:rPr>
          <w:szCs w:val="24"/>
        </w:rPr>
        <w:t>the administrative elements of the</w:t>
      </w:r>
      <w:r w:rsidR="003521B8" w:rsidRPr="00D03A86">
        <w:rPr>
          <w:szCs w:val="24"/>
        </w:rPr>
        <w:t xml:space="preserve"> </w:t>
      </w:r>
      <w:r w:rsidR="00EC0CE1" w:rsidRPr="00D03A86">
        <w:rPr>
          <w:szCs w:val="24"/>
        </w:rPr>
        <w:t>system</w:t>
      </w:r>
      <w:r w:rsidR="00EF4904" w:rsidRPr="00D03A86">
        <w:rPr>
          <w:szCs w:val="24"/>
        </w:rPr>
        <w:t>. The</w:t>
      </w:r>
      <w:r w:rsidR="00FC499A" w:rsidRPr="00D03A86">
        <w:rPr>
          <w:szCs w:val="24"/>
        </w:rPr>
        <w:t xml:space="preserve"> high </w:t>
      </w:r>
      <w:r w:rsidR="003521B8" w:rsidRPr="00D03A86">
        <w:rPr>
          <w:szCs w:val="24"/>
        </w:rPr>
        <w:t xml:space="preserve">fragmentation of </w:t>
      </w:r>
      <w:r w:rsidR="00B11511" w:rsidRPr="00D03A86">
        <w:rPr>
          <w:szCs w:val="24"/>
        </w:rPr>
        <w:t>authorities</w:t>
      </w:r>
      <w:r w:rsidR="008B250E" w:rsidRPr="00D03A86">
        <w:rPr>
          <w:szCs w:val="24"/>
        </w:rPr>
        <w:t xml:space="preserve"> responsible for </w:t>
      </w:r>
      <w:r w:rsidR="001318C5" w:rsidRPr="00D03A86">
        <w:rPr>
          <w:szCs w:val="24"/>
        </w:rPr>
        <w:t xml:space="preserve">disability </w:t>
      </w:r>
      <w:r w:rsidR="008B250E" w:rsidRPr="00D03A86">
        <w:rPr>
          <w:szCs w:val="24"/>
        </w:rPr>
        <w:t>assessments</w:t>
      </w:r>
      <w:r w:rsidR="001318C5" w:rsidRPr="00D03A86">
        <w:rPr>
          <w:szCs w:val="24"/>
        </w:rPr>
        <w:t xml:space="preserve"> for different purposes</w:t>
      </w:r>
      <w:r w:rsidR="00EF4904" w:rsidRPr="00D03A86">
        <w:rPr>
          <w:szCs w:val="24"/>
        </w:rPr>
        <w:t xml:space="preserve"> was seen as</w:t>
      </w:r>
      <w:r w:rsidR="003521B8" w:rsidRPr="00D03A86">
        <w:rPr>
          <w:szCs w:val="24"/>
        </w:rPr>
        <w:t xml:space="preserve"> the single most significant challenge the current system </w:t>
      </w:r>
      <w:r w:rsidR="00FC499A" w:rsidRPr="00D03A86">
        <w:rPr>
          <w:szCs w:val="24"/>
        </w:rPr>
        <w:t>had to confront</w:t>
      </w:r>
      <w:r w:rsidR="00A94D04" w:rsidRPr="00D03A86">
        <w:rPr>
          <w:szCs w:val="24"/>
        </w:rPr>
        <w:t>.</w:t>
      </w:r>
      <w:r w:rsidR="00757930" w:rsidRPr="00D03A86">
        <w:rPr>
          <w:szCs w:val="24"/>
        </w:rPr>
        <w:t xml:space="preserve"> </w:t>
      </w:r>
      <w:r w:rsidR="000C72AD" w:rsidRPr="00D03A86">
        <w:rPr>
          <w:szCs w:val="24"/>
        </w:rPr>
        <w:t xml:space="preserve">Indicatively, </w:t>
      </w:r>
      <w:r w:rsidR="005B7395" w:rsidRPr="00D03A86">
        <w:rPr>
          <w:szCs w:val="24"/>
        </w:rPr>
        <w:t>previously</w:t>
      </w:r>
      <w:r w:rsidR="00246863" w:rsidRPr="00D03A86">
        <w:rPr>
          <w:szCs w:val="24"/>
        </w:rPr>
        <w:t xml:space="preserve">, </w:t>
      </w:r>
      <w:r w:rsidR="000C72AD" w:rsidRPr="00D03A86">
        <w:rPr>
          <w:szCs w:val="24"/>
        </w:rPr>
        <w:t xml:space="preserve">different </w:t>
      </w:r>
      <w:r w:rsidR="00246863" w:rsidRPr="00D03A86">
        <w:rPr>
          <w:szCs w:val="24"/>
        </w:rPr>
        <w:t>disability percentages</w:t>
      </w:r>
      <w:r w:rsidR="000C72AD" w:rsidRPr="00D03A86">
        <w:rPr>
          <w:szCs w:val="24"/>
        </w:rPr>
        <w:t xml:space="preserve"> were being used by </w:t>
      </w:r>
      <w:r w:rsidR="00B11511" w:rsidRPr="00D03A86">
        <w:rPr>
          <w:szCs w:val="24"/>
        </w:rPr>
        <w:t xml:space="preserve">the </w:t>
      </w:r>
      <w:r w:rsidR="000C72AD" w:rsidRPr="00D03A86">
        <w:rPr>
          <w:szCs w:val="24"/>
        </w:rPr>
        <w:t>different social security bodies</w:t>
      </w:r>
      <w:r w:rsidR="00EF4904" w:rsidRPr="00D03A86">
        <w:rPr>
          <w:szCs w:val="24"/>
        </w:rPr>
        <w:t>, or</w:t>
      </w:r>
      <w:r w:rsidR="001318C5" w:rsidRPr="00D03A86">
        <w:rPr>
          <w:szCs w:val="24"/>
        </w:rPr>
        <w:t xml:space="preserve"> there would be a separate assessment process</w:t>
      </w:r>
      <w:r w:rsidR="00EE0269" w:rsidRPr="00D03A86">
        <w:rPr>
          <w:szCs w:val="24"/>
        </w:rPr>
        <w:t>es</w:t>
      </w:r>
      <w:r w:rsidR="001318C5" w:rsidRPr="00D03A86">
        <w:rPr>
          <w:szCs w:val="24"/>
        </w:rPr>
        <w:t xml:space="preserve"> for</w:t>
      </w:r>
      <w:r w:rsidR="00200156" w:rsidRPr="00D03A86">
        <w:rPr>
          <w:szCs w:val="24"/>
        </w:rPr>
        <w:t xml:space="preserve"> welfare benefits, parking permit</w:t>
      </w:r>
      <w:r w:rsidR="0098049A" w:rsidRPr="00D03A86">
        <w:rPr>
          <w:szCs w:val="24"/>
        </w:rPr>
        <w:t xml:space="preserve">, </w:t>
      </w:r>
      <w:r w:rsidR="00200156" w:rsidRPr="00D03A86">
        <w:rPr>
          <w:szCs w:val="24"/>
        </w:rPr>
        <w:t>tax allowances</w:t>
      </w:r>
      <w:r w:rsidR="0098049A" w:rsidRPr="00D03A86">
        <w:rPr>
          <w:szCs w:val="24"/>
        </w:rPr>
        <w:t>, or</w:t>
      </w:r>
      <w:r w:rsidR="00200156" w:rsidRPr="00D03A86">
        <w:rPr>
          <w:szCs w:val="24"/>
        </w:rPr>
        <w:t xml:space="preserve"> disabi</w:t>
      </w:r>
      <w:r w:rsidR="000B5D8B" w:rsidRPr="00D03A86">
        <w:rPr>
          <w:szCs w:val="24"/>
        </w:rPr>
        <w:t>li</w:t>
      </w:r>
      <w:r w:rsidR="001318C5" w:rsidRPr="00D03A86">
        <w:rPr>
          <w:szCs w:val="24"/>
        </w:rPr>
        <w:t>ty pensions</w:t>
      </w:r>
      <w:r w:rsidR="00320E2C" w:rsidRPr="00D03A86">
        <w:rPr>
          <w:szCs w:val="24"/>
        </w:rPr>
        <w:t xml:space="preserve"> for instance</w:t>
      </w:r>
      <w:r w:rsidR="00200156" w:rsidRPr="00D03A86">
        <w:rPr>
          <w:szCs w:val="24"/>
        </w:rPr>
        <w:t>,</w:t>
      </w:r>
      <w:r w:rsidR="00246863" w:rsidRPr="00D03A86">
        <w:rPr>
          <w:szCs w:val="24"/>
        </w:rPr>
        <w:t xml:space="preserve"> wit</w:t>
      </w:r>
      <w:r w:rsidR="009572FE" w:rsidRPr="00D03A86">
        <w:rPr>
          <w:szCs w:val="24"/>
        </w:rPr>
        <w:t xml:space="preserve">h no communication between </w:t>
      </w:r>
      <w:r w:rsidR="0098049A" w:rsidRPr="00D03A86">
        <w:rPr>
          <w:szCs w:val="24"/>
        </w:rPr>
        <w:t>the authorities/</w:t>
      </w:r>
      <w:r w:rsidR="009572FE" w:rsidRPr="00D03A86">
        <w:rPr>
          <w:szCs w:val="24"/>
        </w:rPr>
        <w:t>servic</w:t>
      </w:r>
      <w:r w:rsidR="00246863" w:rsidRPr="00D03A86">
        <w:rPr>
          <w:szCs w:val="24"/>
        </w:rPr>
        <w:t>es,</w:t>
      </w:r>
      <w:r w:rsidR="000C72AD" w:rsidRPr="00D03A86">
        <w:rPr>
          <w:szCs w:val="24"/>
        </w:rPr>
        <w:t xml:space="preserve"> and as a result disabled people would </w:t>
      </w:r>
      <w:r w:rsidR="00835A60" w:rsidRPr="00D03A86">
        <w:rPr>
          <w:szCs w:val="24"/>
        </w:rPr>
        <w:t>have</w:t>
      </w:r>
      <w:r w:rsidR="005B7395" w:rsidRPr="00D03A86">
        <w:rPr>
          <w:szCs w:val="24"/>
        </w:rPr>
        <w:t xml:space="preserve"> to be continuously </w:t>
      </w:r>
      <w:r w:rsidR="000C72AD" w:rsidRPr="00D03A86">
        <w:rPr>
          <w:szCs w:val="24"/>
        </w:rPr>
        <w:t>assessed</w:t>
      </w:r>
      <w:r w:rsidR="00835A60" w:rsidRPr="00D03A86">
        <w:rPr>
          <w:szCs w:val="24"/>
        </w:rPr>
        <w:t>.</w:t>
      </w:r>
      <w:r w:rsidR="006037CE" w:rsidRPr="00D03A86">
        <w:rPr>
          <w:szCs w:val="24"/>
        </w:rPr>
        <w:t xml:space="preserve"> </w:t>
      </w:r>
      <w:r w:rsidR="00AD266A" w:rsidRPr="00D03A86">
        <w:rPr>
          <w:szCs w:val="24"/>
        </w:rPr>
        <w:t>Building a c</w:t>
      </w:r>
      <w:r w:rsidR="00A94D04" w:rsidRPr="00D03A86">
        <w:rPr>
          <w:szCs w:val="24"/>
        </w:rPr>
        <w:t>ost-effect</w:t>
      </w:r>
      <w:r w:rsidR="00AD266A" w:rsidRPr="00D03A86">
        <w:rPr>
          <w:szCs w:val="24"/>
        </w:rPr>
        <w:t>ive system for both administration and users</w:t>
      </w:r>
      <w:r w:rsidR="00A94D04" w:rsidRPr="00D03A86">
        <w:rPr>
          <w:szCs w:val="24"/>
        </w:rPr>
        <w:t xml:space="preserve"> has in this respect been</w:t>
      </w:r>
      <w:r w:rsidR="00AD266A" w:rsidRPr="00D03A86">
        <w:rPr>
          <w:szCs w:val="24"/>
        </w:rPr>
        <w:t xml:space="preserve"> </w:t>
      </w:r>
      <w:r w:rsidR="005B7395" w:rsidRPr="00D03A86">
        <w:rPr>
          <w:szCs w:val="24"/>
        </w:rPr>
        <w:t>a positive change</w:t>
      </w:r>
      <w:r w:rsidR="00EF4904" w:rsidRPr="00D03A86">
        <w:rPr>
          <w:szCs w:val="24"/>
        </w:rPr>
        <w:t xml:space="preserve"> as there is now a common approach to applying and assessors using the same standard</w:t>
      </w:r>
      <w:r w:rsidR="005B7395" w:rsidRPr="00D03A86">
        <w:rPr>
          <w:szCs w:val="24"/>
        </w:rPr>
        <w:t>.</w:t>
      </w:r>
    </w:p>
    <w:p w14:paraId="08F9D513" w14:textId="77777777" w:rsidR="00DD57FC" w:rsidRPr="00D03A86" w:rsidRDefault="00DD57FC" w:rsidP="00940136">
      <w:pPr>
        <w:spacing w:after="0" w:line="240" w:lineRule="auto"/>
        <w:jc w:val="both"/>
        <w:rPr>
          <w:szCs w:val="24"/>
        </w:rPr>
      </w:pPr>
    </w:p>
    <w:p w14:paraId="42476267" w14:textId="55ABCCC4" w:rsidR="00437FE9" w:rsidRPr="00D03A86" w:rsidRDefault="00CB2CB6" w:rsidP="00940136">
      <w:pPr>
        <w:spacing w:after="0" w:line="240" w:lineRule="auto"/>
        <w:jc w:val="both"/>
        <w:rPr>
          <w:szCs w:val="24"/>
        </w:rPr>
      </w:pPr>
      <w:r w:rsidRPr="00D03A86">
        <w:rPr>
          <w:szCs w:val="24"/>
        </w:rPr>
        <w:t xml:space="preserve">Indeed, the National Federation of Disabled People </w:t>
      </w:r>
      <w:r w:rsidR="00E952DD" w:rsidRPr="00D03A86">
        <w:rPr>
          <w:szCs w:val="24"/>
        </w:rPr>
        <w:t xml:space="preserve">actively </w:t>
      </w:r>
      <w:r w:rsidR="00A96844" w:rsidRPr="00D03A86">
        <w:rPr>
          <w:szCs w:val="24"/>
        </w:rPr>
        <w:t xml:space="preserve">supported </w:t>
      </w:r>
      <w:r w:rsidR="00183F98" w:rsidRPr="00D03A86">
        <w:rPr>
          <w:szCs w:val="24"/>
        </w:rPr>
        <w:t>the development of a</w:t>
      </w:r>
      <w:r w:rsidRPr="00D03A86">
        <w:rPr>
          <w:szCs w:val="24"/>
        </w:rPr>
        <w:t xml:space="preserve"> </w:t>
      </w:r>
      <w:r w:rsidR="004B6F02" w:rsidRPr="00D03A86">
        <w:rPr>
          <w:szCs w:val="24"/>
        </w:rPr>
        <w:t xml:space="preserve">centralised </w:t>
      </w:r>
      <w:r w:rsidR="00183F98" w:rsidRPr="00D03A86">
        <w:rPr>
          <w:szCs w:val="24"/>
        </w:rPr>
        <w:t xml:space="preserve">system </w:t>
      </w:r>
      <w:r w:rsidR="00C10D58" w:rsidRPr="00D03A86">
        <w:rPr>
          <w:szCs w:val="24"/>
        </w:rPr>
        <w:t xml:space="preserve">using </w:t>
      </w:r>
      <w:r w:rsidR="00183F98" w:rsidRPr="00D03A86">
        <w:rPr>
          <w:szCs w:val="24"/>
        </w:rPr>
        <w:t xml:space="preserve">a single disability percentage table in order </w:t>
      </w:r>
      <w:r w:rsidR="00AF451B" w:rsidRPr="00D03A86">
        <w:rPr>
          <w:szCs w:val="24"/>
        </w:rPr>
        <w:t xml:space="preserve">to tackle </w:t>
      </w:r>
      <w:r w:rsidR="00183F98" w:rsidRPr="00D03A86">
        <w:rPr>
          <w:szCs w:val="24"/>
        </w:rPr>
        <w:t>a further issue, that of stereotyping disability as</w:t>
      </w:r>
      <w:r w:rsidR="004B6F02" w:rsidRPr="00D03A86">
        <w:rPr>
          <w:szCs w:val="24"/>
        </w:rPr>
        <w:t xml:space="preserve"> linked to benefit fraud </w:t>
      </w:r>
      <w:r w:rsidR="002D64E0" w:rsidRPr="00D03A86">
        <w:rPr>
          <w:szCs w:val="24"/>
        </w:rPr>
        <w:t xml:space="preserve">which </w:t>
      </w:r>
      <w:r w:rsidR="004B6F02" w:rsidRPr="00D03A86">
        <w:rPr>
          <w:szCs w:val="24"/>
        </w:rPr>
        <w:t xml:space="preserve">was typically communicated </w:t>
      </w:r>
      <w:r w:rsidR="00757930" w:rsidRPr="00D03A86">
        <w:rPr>
          <w:szCs w:val="24"/>
        </w:rPr>
        <w:t xml:space="preserve">in politics and </w:t>
      </w:r>
      <w:r w:rsidR="004B6F02" w:rsidRPr="00D03A86">
        <w:rPr>
          <w:szCs w:val="24"/>
        </w:rPr>
        <w:t>the press</w:t>
      </w:r>
      <w:r w:rsidR="002D64E0" w:rsidRPr="00D03A86">
        <w:rPr>
          <w:szCs w:val="24"/>
        </w:rPr>
        <w:t xml:space="preserve"> at the time</w:t>
      </w:r>
      <w:r w:rsidR="00EF4904" w:rsidRPr="00D03A86">
        <w:rPr>
          <w:szCs w:val="24"/>
        </w:rPr>
        <w:t>,</w:t>
      </w:r>
      <w:r w:rsidR="004B6F02" w:rsidRPr="00D03A86">
        <w:rPr>
          <w:szCs w:val="24"/>
        </w:rPr>
        <w:t xml:space="preserve"> </w:t>
      </w:r>
      <w:r w:rsidR="00EF4904" w:rsidRPr="00D03A86">
        <w:rPr>
          <w:szCs w:val="24"/>
        </w:rPr>
        <w:t xml:space="preserve">the idea being that the new system would be more reliable and trusted and so fraud would be seen as less likely </w:t>
      </w:r>
      <w:r w:rsidR="002D64E0" w:rsidRPr="00D03A86">
        <w:rPr>
          <w:szCs w:val="24"/>
        </w:rPr>
        <w:t>(Pavli 2017, p.190</w:t>
      </w:r>
      <w:r w:rsidR="00183F98" w:rsidRPr="00D03A86">
        <w:rPr>
          <w:szCs w:val="24"/>
        </w:rPr>
        <w:t>)</w:t>
      </w:r>
      <w:r w:rsidR="00EF4904" w:rsidRPr="00D03A86">
        <w:rPr>
          <w:szCs w:val="24"/>
        </w:rPr>
        <w:t>.</w:t>
      </w:r>
    </w:p>
    <w:p w14:paraId="1C48A651" w14:textId="77777777" w:rsidR="008C7C5F" w:rsidRPr="00D03A86" w:rsidRDefault="008C7C5F" w:rsidP="00940136">
      <w:pPr>
        <w:spacing w:after="0" w:line="240" w:lineRule="auto"/>
        <w:jc w:val="both"/>
        <w:rPr>
          <w:szCs w:val="24"/>
        </w:rPr>
      </w:pPr>
    </w:p>
    <w:p w14:paraId="7A3F6C7E" w14:textId="447351B0" w:rsidR="00962850" w:rsidRPr="00D03A86" w:rsidRDefault="00225E5E" w:rsidP="00940136">
      <w:pPr>
        <w:spacing w:after="0" w:line="240" w:lineRule="auto"/>
        <w:jc w:val="both"/>
        <w:rPr>
          <w:szCs w:val="24"/>
        </w:rPr>
      </w:pPr>
      <w:r w:rsidRPr="00D03A86">
        <w:rPr>
          <w:szCs w:val="24"/>
        </w:rPr>
        <w:t>C</w:t>
      </w:r>
      <w:r w:rsidR="00705F2B" w:rsidRPr="00D03A86">
        <w:rPr>
          <w:szCs w:val="24"/>
        </w:rPr>
        <w:t>riticisms</w:t>
      </w:r>
      <w:r w:rsidRPr="00D03A86">
        <w:rPr>
          <w:szCs w:val="24"/>
        </w:rPr>
        <w:t xml:space="preserve"> </w:t>
      </w:r>
      <w:r w:rsidR="00147B0A" w:rsidRPr="00D03A86">
        <w:rPr>
          <w:szCs w:val="24"/>
        </w:rPr>
        <w:t>of</w:t>
      </w:r>
      <w:r w:rsidRPr="00D03A86">
        <w:rPr>
          <w:szCs w:val="24"/>
        </w:rPr>
        <w:t xml:space="preserve"> the assessment method </w:t>
      </w:r>
      <w:r w:rsidR="00705F2B" w:rsidRPr="00D03A86">
        <w:rPr>
          <w:szCs w:val="24"/>
        </w:rPr>
        <w:t>were only</w:t>
      </w:r>
      <w:r w:rsidRPr="00D03A86">
        <w:rPr>
          <w:szCs w:val="24"/>
        </w:rPr>
        <w:t xml:space="preserve"> raised in cases where disability percentages </w:t>
      </w:r>
      <w:r w:rsidR="00705F2B" w:rsidRPr="00D03A86">
        <w:rPr>
          <w:szCs w:val="24"/>
        </w:rPr>
        <w:t>were</w:t>
      </w:r>
      <w:r w:rsidRPr="00D03A86">
        <w:rPr>
          <w:szCs w:val="24"/>
        </w:rPr>
        <w:t xml:space="preserve"> reduced for certain impairments</w:t>
      </w:r>
      <w:r w:rsidR="00705F2B" w:rsidRPr="00D03A86">
        <w:rPr>
          <w:szCs w:val="24"/>
        </w:rPr>
        <w:t xml:space="preserve">, </w:t>
      </w:r>
      <w:r w:rsidRPr="00D03A86">
        <w:rPr>
          <w:szCs w:val="24"/>
        </w:rPr>
        <w:t xml:space="preserve">back in 2011 (Pavli, 2017), but also with the more recent modification </w:t>
      </w:r>
      <w:r w:rsidR="00EF4904" w:rsidRPr="00D03A86">
        <w:rPr>
          <w:szCs w:val="24"/>
        </w:rPr>
        <w:t xml:space="preserve">(including reductions is % scores) </w:t>
      </w:r>
      <w:r w:rsidRPr="00D03A86">
        <w:rPr>
          <w:szCs w:val="24"/>
        </w:rPr>
        <w:t>in December 2017. Indicatively, umbrella organisations for the rights of people in the autistic spectrum</w:t>
      </w:r>
      <w:r w:rsidR="00022621" w:rsidRPr="00D03A86">
        <w:rPr>
          <w:szCs w:val="24"/>
        </w:rPr>
        <w:t xml:space="preserve"> aim </w:t>
      </w:r>
      <w:r w:rsidR="00022621" w:rsidRPr="00D03A86">
        <w:rPr>
          <w:b/>
          <w:szCs w:val="24"/>
        </w:rPr>
        <w:t>to re</w:t>
      </w:r>
      <w:r w:rsidR="00EE0269" w:rsidRPr="00D03A86">
        <w:rPr>
          <w:b/>
          <w:szCs w:val="24"/>
        </w:rPr>
        <w:t>-establish</w:t>
      </w:r>
      <w:r w:rsidR="00022621" w:rsidRPr="00D03A86">
        <w:rPr>
          <w:szCs w:val="24"/>
        </w:rPr>
        <w:t xml:space="preserve"> higher disability percentages</w:t>
      </w:r>
      <w:r w:rsidR="00962850" w:rsidRPr="00D03A86">
        <w:rPr>
          <w:szCs w:val="24"/>
        </w:rPr>
        <w:t xml:space="preserve"> </w:t>
      </w:r>
      <w:r w:rsidR="00022621" w:rsidRPr="00D03A86">
        <w:rPr>
          <w:szCs w:val="24"/>
        </w:rPr>
        <w:t>associated with impairment</w:t>
      </w:r>
      <w:r w:rsidR="00E952DD" w:rsidRPr="00D03A86">
        <w:rPr>
          <w:szCs w:val="24"/>
        </w:rPr>
        <w:t>,</w:t>
      </w:r>
      <w:r w:rsidR="00962850" w:rsidRPr="00D03A86">
        <w:rPr>
          <w:szCs w:val="24"/>
        </w:rPr>
        <w:t xml:space="preserve"> </w:t>
      </w:r>
      <w:r w:rsidRPr="00D03A86">
        <w:rPr>
          <w:szCs w:val="24"/>
        </w:rPr>
        <w:t xml:space="preserve">from 50% </w:t>
      </w:r>
      <w:r w:rsidR="00962850" w:rsidRPr="00D03A86">
        <w:rPr>
          <w:szCs w:val="24"/>
        </w:rPr>
        <w:t>to 67%</w:t>
      </w:r>
      <w:r w:rsidRPr="00D03A86">
        <w:rPr>
          <w:szCs w:val="24"/>
        </w:rPr>
        <w:t xml:space="preserve"> (as </w:t>
      </w:r>
      <w:r w:rsidR="00EE0269" w:rsidRPr="00D03A86">
        <w:rPr>
          <w:szCs w:val="24"/>
        </w:rPr>
        <w:t>was previously the case</w:t>
      </w:r>
      <w:r w:rsidRPr="00D03A86">
        <w:rPr>
          <w:szCs w:val="24"/>
        </w:rPr>
        <w:t>)</w:t>
      </w:r>
      <w:r w:rsidR="00962850" w:rsidRPr="00D03A86">
        <w:rPr>
          <w:szCs w:val="24"/>
        </w:rPr>
        <w:t xml:space="preserve"> up to 100% depending on severity of limitation</w:t>
      </w:r>
      <w:r w:rsidR="008C16E8" w:rsidRPr="00D03A86">
        <w:rPr>
          <w:szCs w:val="24"/>
        </w:rPr>
        <w:t>.</w:t>
      </w:r>
      <w:r w:rsidRPr="00D03A86">
        <w:rPr>
          <w:rStyle w:val="FootnoteReference"/>
          <w:szCs w:val="24"/>
        </w:rPr>
        <w:footnoteReference w:id="17"/>
      </w:r>
      <w:r w:rsidR="00022621" w:rsidRPr="00D03A86">
        <w:rPr>
          <w:szCs w:val="24"/>
        </w:rPr>
        <w:t xml:space="preserve"> </w:t>
      </w:r>
    </w:p>
    <w:p w14:paraId="5464D2FD" w14:textId="77777777" w:rsidR="00962850" w:rsidRPr="00D03A86" w:rsidRDefault="00962850" w:rsidP="00940136">
      <w:pPr>
        <w:pStyle w:val="ListParagraph"/>
        <w:spacing w:after="0" w:line="240" w:lineRule="auto"/>
        <w:jc w:val="both"/>
        <w:rPr>
          <w:szCs w:val="24"/>
        </w:rPr>
      </w:pPr>
    </w:p>
    <w:p w14:paraId="30A1FBC6" w14:textId="0F17BDB9" w:rsidR="00A96844" w:rsidRPr="00D03A86" w:rsidRDefault="00B3518B" w:rsidP="00940136">
      <w:pPr>
        <w:spacing w:after="0" w:line="240" w:lineRule="auto"/>
        <w:jc w:val="both"/>
        <w:rPr>
          <w:szCs w:val="24"/>
        </w:rPr>
      </w:pPr>
      <w:r w:rsidRPr="00D03A86">
        <w:rPr>
          <w:szCs w:val="24"/>
        </w:rPr>
        <w:t>In their briefing paper, the representative organisations for the rights of people in the autistic spectrum</w:t>
      </w:r>
      <w:r w:rsidR="00E952DD" w:rsidRPr="00D03A86">
        <w:rPr>
          <w:szCs w:val="24"/>
        </w:rPr>
        <w:t xml:space="preserve"> </w:t>
      </w:r>
      <w:r w:rsidR="00E320EF" w:rsidRPr="00D03A86">
        <w:rPr>
          <w:szCs w:val="24"/>
        </w:rPr>
        <w:t>further</w:t>
      </w:r>
      <w:r w:rsidR="00F83921" w:rsidRPr="00D03A86">
        <w:rPr>
          <w:szCs w:val="24"/>
        </w:rPr>
        <w:t xml:space="preserve"> request that </w:t>
      </w:r>
      <w:r w:rsidR="00962850" w:rsidRPr="00D03A86">
        <w:rPr>
          <w:szCs w:val="24"/>
        </w:rPr>
        <w:t>comb</w:t>
      </w:r>
      <w:r w:rsidR="00F83921" w:rsidRPr="00D03A86">
        <w:rPr>
          <w:szCs w:val="24"/>
        </w:rPr>
        <w:t xml:space="preserve">ined </w:t>
      </w:r>
      <w:r w:rsidR="00962850" w:rsidRPr="00D03A86">
        <w:rPr>
          <w:szCs w:val="24"/>
        </w:rPr>
        <w:t xml:space="preserve">tools </w:t>
      </w:r>
      <w:r w:rsidR="00F83921" w:rsidRPr="00D03A86">
        <w:rPr>
          <w:szCs w:val="24"/>
        </w:rPr>
        <w:t xml:space="preserve">are used for the assessment of autism, </w:t>
      </w:r>
      <w:r w:rsidR="00022621" w:rsidRPr="00D03A86">
        <w:rPr>
          <w:szCs w:val="24"/>
        </w:rPr>
        <w:t>such</w:t>
      </w:r>
      <w:r w:rsidR="00962850" w:rsidRPr="00D03A86">
        <w:rPr>
          <w:szCs w:val="24"/>
        </w:rPr>
        <w:t xml:space="preserve"> as the </w:t>
      </w:r>
      <w:r w:rsidR="00962850" w:rsidRPr="00D03A86">
        <w:rPr>
          <w:i/>
          <w:szCs w:val="24"/>
        </w:rPr>
        <w:t xml:space="preserve">Vineland Adaptive </w:t>
      </w:r>
      <w:r w:rsidR="00EF4904" w:rsidRPr="00D03A86">
        <w:rPr>
          <w:i/>
          <w:szCs w:val="24"/>
        </w:rPr>
        <w:t>Behaviour</w:t>
      </w:r>
      <w:r w:rsidR="00962850" w:rsidRPr="00D03A86">
        <w:rPr>
          <w:i/>
          <w:szCs w:val="24"/>
        </w:rPr>
        <w:t xml:space="preserve"> Scales</w:t>
      </w:r>
      <w:r w:rsidR="00962850" w:rsidRPr="00D03A86">
        <w:rPr>
          <w:szCs w:val="24"/>
        </w:rPr>
        <w:t xml:space="preserve"> and </w:t>
      </w:r>
      <w:r w:rsidR="00F83921" w:rsidRPr="00D03A86">
        <w:rPr>
          <w:i/>
          <w:szCs w:val="24"/>
        </w:rPr>
        <w:t xml:space="preserve">Autism Diagnostic Observation </w:t>
      </w:r>
      <w:r w:rsidR="00962850" w:rsidRPr="00D03A86">
        <w:rPr>
          <w:i/>
          <w:szCs w:val="24"/>
        </w:rPr>
        <w:t>Schedule</w:t>
      </w:r>
      <w:r w:rsidR="00F8075D" w:rsidRPr="00D03A86">
        <w:rPr>
          <w:i/>
          <w:szCs w:val="24"/>
        </w:rPr>
        <w:t>,</w:t>
      </w:r>
      <w:r w:rsidR="00EF4904" w:rsidRPr="00D03A86">
        <w:rPr>
          <w:rStyle w:val="FootnoteReference"/>
          <w:i/>
          <w:szCs w:val="24"/>
        </w:rPr>
        <w:footnoteReference w:id="18"/>
      </w:r>
      <w:r w:rsidR="00F8075D" w:rsidRPr="00D03A86">
        <w:rPr>
          <w:i/>
          <w:szCs w:val="24"/>
        </w:rPr>
        <w:t xml:space="preserve"> </w:t>
      </w:r>
      <w:r w:rsidR="00EF4904" w:rsidRPr="00D03A86">
        <w:rPr>
          <w:rStyle w:val="FootnoteReference"/>
          <w:i/>
          <w:szCs w:val="24"/>
        </w:rPr>
        <w:footnoteReference w:id="19"/>
      </w:r>
      <w:r w:rsidR="0083697E" w:rsidRPr="00D03A86">
        <w:rPr>
          <w:szCs w:val="24"/>
        </w:rPr>
        <w:t xml:space="preserve"> along with clinical observation and interview (ADI-R) which </w:t>
      </w:r>
      <w:r w:rsidR="00EF4904" w:rsidRPr="00D03A86">
        <w:rPr>
          <w:szCs w:val="24"/>
        </w:rPr>
        <w:t>are c</w:t>
      </w:r>
      <w:r w:rsidR="0083697E" w:rsidRPr="00D03A86">
        <w:rPr>
          <w:szCs w:val="24"/>
        </w:rPr>
        <w:t>laimed to “ensure a reliable diagnosis, planning for suitable interventions</w:t>
      </w:r>
      <w:r w:rsidR="00C23CCC" w:rsidRPr="00D03A86">
        <w:rPr>
          <w:szCs w:val="24"/>
        </w:rPr>
        <w:t xml:space="preserve"> and assessment of autism as distinct from other developmental disorders”</w:t>
      </w:r>
      <w:r w:rsidR="00F8075D" w:rsidRPr="00D03A86">
        <w:rPr>
          <w:szCs w:val="24"/>
        </w:rPr>
        <w:t>.</w:t>
      </w:r>
      <w:r w:rsidR="00A96844" w:rsidRPr="00D03A86">
        <w:rPr>
          <w:rStyle w:val="FootnoteReference"/>
          <w:szCs w:val="24"/>
        </w:rPr>
        <w:footnoteReference w:id="20"/>
      </w:r>
      <w:r w:rsidR="00C23CCC" w:rsidRPr="00D03A86">
        <w:rPr>
          <w:szCs w:val="24"/>
        </w:rPr>
        <w:t xml:space="preserve"> </w:t>
      </w:r>
    </w:p>
    <w:p w14:paraId="41AE8088" w14:textId="7DD3F816" w:rsidR="00265AF9" w:rsidRPr="00D03A86" w:rsidRDefault="00265AF9" w:rsidP="00940136">
      <w:pPr>
        <w:spacing w:after="0" w:line="240" w:lineRule="auto"/>
        <w:jc w:val="both"/>
        <w:rPr>
          <w:szCs w:val="24"/>
        </w:rPr>
      </w:pPr>
    </w:p>
    <w:p w14:paraId="47E16099" w14:textId="7718785B" w:rsidR="00E320EF" w:rsidRPr="00D03A86" w:rsidRDefault="00E0105A" w:rsidP="00940136">
      <w:pPr>
        <w:spacing w:after="0" w:line="240" w:lineRule="auto"/>
        <w:jc w:val="both"/>
        <w:rPr>
          <w:szCs w:val="24"/>
        </w:rPr>
      </w:pPr>
      <w:r w:rsidRPr="00D03A86">
        <w:rPr>
          <w:szCs w:val="24"/>
        </w:rPr>
        <w:t>Still, t</w:t>
      </w:r>
      <w:r w:rsidR="00E320EF" w:rsidRPr="00D03A86">
        <w:rPr>
          <w:szCs w:val="24"/>
        </w:rPr>
        <w:t>he assessment method</w:t>
      </w:r>
      <w:r w:rsidRPr="00D03A86">
        <w:rPr>
          <w:szCs w:val="24"/>
        </w:rPr>
        <w:t>,</w:t>
      </w:r>
      <w:r w:rsidR="00E320EF" w:rsidRPr="00D03A86">
        <w:rPr>
          <w:szCs w:val="24"/>
        </w:rPr>
        <w:t xml:space="preserve"> which focuses exclusively on impairment and individual</w:t>
      </w:r>
      <w:r w:rsidRPr="00D03A86">
        <w:rPr>
          <w:szCs w:val="24"/>
        </w:rPr>
        <w:t xml:space="preserve"> limitations, and the process which relies heavily on medical judgement,</w:t>
      </w:r>
      <w:r w:rsidR="00E320EF" w:rsidRPr="00D03A86">
        <w:rPr>
          <w:szCs w:val="24"/>
        </w:rPr>
        <w:t xml:space="preserve"> </w:t>
      </w:r>
      <w:r w:rsidRPr="00D03A86">
        <w:rPr>
          <w:szCs w:val="24"/>
        </w:rPr>
        <w:t>have</w:t>
      </w:r>
      <w:r w:rsidR="00E320EF" w:rsidRPr="00D03A86">
        <w:rPr>
          <w:szCs w:val="24"/>
        </w:rPr>
        <w:t xml:space="preserve"> not been brought into question</w:t>
      </w:r>
      <w:r w:rsidRPr="00D03A86">
        <w:rPr>
          <w:szCs w:val="24"/>
        </w:rPr>
        <w:t xml:space="preserve"> in the </w:t>
      </w:r>
      <w:r w:rsidR="00847872" w:rsidRPr="00D03A86">
        <w:rPr>
          <w:szCs w:val="24"/>
        </w:rPr>
        <w:t>ongoing</w:t>
      </w:r>
      <w:r w:rsidRPr="00D03A86">
        <w:rPr>
          <w:szCs w:val="24"/>
        </w:rPr>
        <w:t xml:space="preserve"> dialogue</w:t>
      </w:r>
      <w:r w:rsidR="00705F2B" w:rsidRPr="00D03A86">
        <w:rPr>
          <w:szCs w:val="24"/>
        </w:rPr>
        <w:t xml:space="preserve"> over disability assessments</w:t>
      </w:r>
      <w:r w:rsidR="00E320EF" w:rsidRPr="00D03A86">
        <w:rPr>
          <w:szCs w:val="24"/>
        </w:rPr>
        <w:t>.</w:t>
      </w:r>
      <w:r w:rsidR="007C0655" w:rsidRPr="00D03A86">
        <w:rPr>
          <w:szCs w:val="24"/>
        </w:rPr>
        <w:t xml:space="preserve"> To </w:t>
      </w:r>
      <w:r w:rsidR="000454AB" w:rsidRPr="00D03A86">
        <w:rPr>
          <w:szCs w:val="24"/>
        </w:rPr>
        <w:t xml:space="preserve">the extent that this assessment </w:t>
      </w:r>
      <w:r w:rsidR="007C0655" w:rsidRPr="00D03A86">
        <w:rPr>
          <w:szCs w:val="24"/>
        </w:rPr>
        <w:t xml:space="preserve">mechanism provides access to the main in country disability provisions, an operational definition of disability more closely aligned with the </w:t>
      </w:r>
      <w:r w:rsidR="007C0655" w:rsidRPr="00D03A86">
        <w:rPr>
          <w:szCs w:val="24"/>
        </w:rPr>
        <w:lastRenderedPageBreak/>
        <w:t>CRPD should include consideration of barriers that hinder participation (Art.1)</w:t>
      </w:r>
      <w:r w:rsidR="00C11803" w:rsidRPr="00D03A86">
        <w:rPr>
          <w:szCs w:val="24"/>
        </w:rPr>
        <w:t xml:space="preserve"> in the </w:t>
      </w:r>
      <w:r w:rsidR="0097265B" w:rsidRPr="00D03A86">
        <w:rPr>
          <w:szCs w:val="24"/>
        </w:rPr>
        <w:t xml:space="preserve">relevant </w:t>
      </w:r>
      <w:r w:rsidR="00C11803" w:rsidRPr="00D03A86">
        <w:rPr>
          <w:szCs w:val="24"/>
        </w:rPr>
        <w:t>needs assessment</w:t>
      </w:r>
      <w:r w:rsidR="007C0655" w:rsidRPr="00D03A86">
        <w:rPr>
          <w:szCs w:val="24"/>
        </w:rPr>
        <w:t xml:space="preserve">.   </w:t>
      </w:r>
    </w:p>
    <w:p w14:paraId="5647CB0F" w14:textId="77777777" w:rsidR="00E320EF" w:rsidRPr="00D03A86" w:rsidRDefault="00E320EF" w:rsidP="00940136">
      <w:pPr>
        <w:spacing w:after="0" w:line="240" w:lineRule="auto"/>
        <w:jc w:val="both"/>
        <w:rPr>
          <w:szCs w:val="24"/>
        </w:rPr>
      </w:pPr>
    </w:p>
    <w:p w14:paraId="398A0026" w14:textId="77777777" w:rsidR="00C724DC" w:rsidRPr="00D03A86" w:rsidRDefault="00C724DC" w:rsidP="00940136">
      <w:pPr>
        <w:pStyle w:val="Heading3"/>
        <w:spacing w:before="0" w:line="240" w:lineRule="auto"/>
        <w:jc w:val="both"/>
        <w:rPr>
          <w:szCs w:val="24"/>
        </w:rPr>
      </w:pPr>
      <w:r w:rsidRPr="00D03A86">
        <w:rPr>
          <w:szCs w:val="24"/>
        </w:rPr>
        <w:t>Promising practice</w:t>
      </w:r>
    </w:p>
    <w:p w14:paraId="419BC214" w14:textId="3320B85B" w:rsidR="00EF5208" w:rsidRPr="00D03A86" w:rsidRDefault="00EF5208" w:rsidP="00940136">
      <w:pPr>
        <w:spacing w:after="0" w:line="240" w:lineRule="auto"/>
        <w:jc w:val="both"/>
        <w:rPr>
          <w:szCs w:val="24"/>
        </w:rPr>
      </w:pPr>
    </w:p>
    <w:p w14:paraId="7E7CA937" w14:textId="77777777" w:rsidR="00673C5E" w:rsidRPr="00D03A86" w:rsidRDefault="00673C5E" w:rsidP="00673C5E">
      <w:pPr>
        <w:spacing w:after="0" w:line="240" w:lineRule="auto"/>
        <w:jc w:val="both"/>
        <w:rPr>
          <w:i/>
          <w:color w:val="4F81BD" w:themeColor="accent1"/>
        </w:rPr>
      </w:pPr>
      <w:bookmarkStart w:id="7" w:name="_Hlk524097122"/>
      <w:r w:rsidRPr="00D03A86">
        <w:rPr>
          <w:i/>
          <w:color w:val="4F81BD" w:themeColor="accent1"/>
        </w:rPr>
        <w:t>If the case study includes examples of good practice, of interest to the EU and other countries, then identify and explain the most promising elements. Please indicate if disabled peoples’ organisations have been involved in developing or evaluating the assessment method.</w:t>
      </w:r>
    </w:p>
    <w:bookmarkEnd w:id="7"/>
    <w:p w14:paraId="094D50DB" w14:textId="77777777" w:rsidR="00673C5E" w:rsidRPr="00D03A86" w:rsidRDefault="00673C5E" w:rsidP="00940136">
      <w:pPr>
        <w:spacing w:after="0" w:line="240" w:lineRule="auto"/>
        <w:jc w:val="both"/>
        <w:rPr>
          <w:szCs w:val="24"/>
        </w:rPr>
      </w:pPr>
    </w:p>
    <w:p w14:paraId="1F8DBD5A" w14:textId="18001566" w:rsidR="00256470" w:rsidRPr="00D03A86" w:rsidRDefault="00256470" w:rsidP="00940136">
      <w:pPr>
        <w:spacing w:after="0" w:line="240" w:lineRule="auto"/>
        <w:jc w:val="both"/>
        <w:rPr>
          <w:szCs w:val="24"/>
        </w:rPr>
      </w:pPr>
      <w:r w:rsidRPr="00D03A86">
        <w:rPr>
          <w:szCs w:val="24"/>
        </w:rPr>
        <w:t>None identified.</w:t>
      </w:r>
    </w:p>
    <w:p w14:paraId="21B0E92B" w14:textId="4C98F6B1" w:rsidR="00B333D2" w:rsidRPr="00D03A86" w:rsidRDefault="00B333D2" w:rsidP="00940136">
      <w:pPr>
        <w:spacing w:after="0" w:line="240" w:lineRule="auto"/>
        <w:jc w:val="both"/>
        <w:rPr>
          <w:szCs w:val="24"/>
        </w:rPr>
      </w:pPr>
    </w:p>
    <w:p w14:paraId="41310CA2" w14:textId="77777777" w:rsidR="009E7819" w:rsidRPr="00D03A86" w:rsidRDefault="009E7819" w:rsidP="00940136">
      <w:pPr>
        <w:spacing w:after="0" w:line="240" w:lineRule="auto"/>
        <w:rPr>
          <w:rFonts w:eastAsiaTheme="majorEastAsia"/>
          <w:b/>
          <w:bCs/>
          <w:szCs w:val="24"/>
        </w:rPr>
      </w:pPr>
      <w:r w:rsidRPr="00D03A86">
        <w:rPr>
          <w:szCs w:val="24"/>
        </w:rPr>
        <w:br w:type="page"/>
      </w:r>
    </w:p>
    <w:p w14:paraId="0F714F36" w14:textId="6CAC733D" w:rsidR="00F535A3" w:rsidRPr="00D03A86" w:rsidRDefault="00F535A3" w:rsidP="00940136">
      <w:pPr>
        <w:pStyle w:val="Heading2"/>
        <w:jc w:val="both"/>
        <w:rPr>
          <w:szCs w:val="24"/>
        </w:rPr>
      </w:pPr>
      <w:bookmarkStart w:id="8" w:name="_Toc536024025"/>
      <w:r w:rsidRPr="00D03A86">
        <w:rPr>
          <w:szCs w:val="24"/>
        </w:rPr>
        <w:lastRenderedPageBreak/>
        <w:t>Case study</w:t>
      </w:r>
      <w:r w:rsidR="00233E3B" w:rsidRPr="00D03A86">
        <w:rPr>
          <w:szCs w:val="24"/>
        </w:rPr>
        <w:t xml:space="preserve"> 2</w:t>
      </w:r>
      <w:r w:rsidR="00EF5208" w:rsidRPr="00D03A86">
        <w:rPr>
          <w:szCs w:val="24"/>
        </w:rPr>
        <w:t xml:space="preserve">: </w:t>
      </w:r>
      <w:r w:rsidR="00793E11" w:rsidRPr="00D03A86">
        <w:rPr>
          <w:szCs w:val="24"/>
        </w:rPr>
        <w:t>Access</w:t>
      </w:r>
      <w:r w:rsidR="00DE751F" w:rsidRPr="00D03A86">
        <w:rPr>
          <w:szCs w:val="24"/>
        </w:rPr>
        <w:t xml:space="preserve"> to various disability benefits</w:t>
      </w:r>
      <w:bookmarkEnd w:id="8"/>
    </w:p>
    <w:p w14:paraId="5D6C44B5" w14:textId="2EE52E4D" w:rsidR="00673C5E" w:rsidRPr="00D03A86" w:rsidRDefault="00673C5E" w:rsidP="00940136">
      <w:pPr>
        <w:spacing w:after="0" w:line="240" w:lineRule="auto"/>
        <w:jc w:val="both"/>
        <w:rPr>
          <w:szCs w:val="24"/>
        </w:rPr>
      </w:pPr>
      <w:r w:rsidRPr="00D03A86">
        <w:rPr>
          <w:i/>
          <w:color w:val="4F81BD" w:themeColor="accent1"/>
        </w:rPr>
        <w:t>(eligibility for invalidity pension, as defined by MISSOC).</w:t>
      </w:r>
    </w:p>
    <w:p w14:paraId="668D4A28" w14:textId="77777777" w:rsidR="00673C5E" w:rsidRPr="00D03A86" w:rsidRDefault="00673C5E" w:rsidP="00940136">
      <w:pPr>
        <w:spacing w:after="0" w:line="240" w:lineRule="auto"/>
        <w:jc w:val="both"/>
        <w:rPr>
          <w:szCs w:val="24"/>
        </w:rPr>
      </w:pPr>
    </w:p>
    <w:p w14:paraId="0B13386E" w14:textId="2FDA9B4D" w:rsidR="00E52246" w:rsidRPr="00D03A86" w:rsidRDefault="00E52246" w:rsidP="00940136">
      <w:pPr>
        <w:spacing w:after="0" w:line="240" w:lineRule="auto"/>
        <w:jc w:val="both"/>
        <w:rPr>
          <w:szCs w:val="24"/>
        </w:rPr>
      </w:pPr>
      <w:r w:rsidRPr="00D03A86">
        <w:rPr>
          <w:szCs w:val="24"/>
        </w:rPr>
        <w:t xml:space="preserve">This </w:t>
      </w:r>
      <w:r w:rsidR="00854397" w:rsidRPr="00D03A86">
        <w:rPr>
          <w:szCs w:val="24"/>
        </w:rPr>
        <w:t>c</w:t>
      </w:r>
      <w:r w:rsidRPr="00D03A86">
        <w:rPr>
          <w:szCs w:val="24"/>
        </w:rPr>
        <w:t xml:space="preserve">ase study involves a complementary assessment method to the procedure described in </w:t>
      </w:r>
      <w:r w:rsidR="00854397" w:rsidRPr="00D03A86">
        <w:rPr>
          <w:szCs w:val="24"/>
        </w:rPr>
        <w:t>c</w:t>
      </w:r>
      <w:r w:rsidRPr="00D03A86">
        <w:rPr>
          <w:szCs w:val="24"/>
        </w:rPr>
        <w:t xml:space="preserve">ase </w:t>
      </w:r>
      <w:r w:rsidR="00854397" w:rsidRPr="00D03A86">
        <w:rPr>
          <w:szCs w:val="24"/>
        </w:rPr>
        <w:t>s</w:t>
      </w:r>
      <w:r w:rsidRPr="00D03A86">
        <w:rPr>
          <w:szCs w:val="24"/>
        </w:rPr>
        <w:t xml:space="preserve">tudy 1, based on WHO DAS 2.0 questionnaire, that </w:t>
      </w:r>
      <w:r w:rsidR="00B843E6" w:rsidRPr="00D03A86">
        <w:rPr>
          <w:szCs w:val="24"/>
        </w:rPr>
        <w:t xml:space="preserve">was first </w:t>
      </w:r>
      <w:r w:rsidRPr="00D03A86">
        <w:rPr>
          <w:szCs w:val="24"/>
        </w:rPr>
        <w:t xml:space="preserve">  piloted (January 2018-June 2018) in the region of Attika for accessing disability welfare benefits in cash.</w:t>
      </w:r>
      <w:r w:rsidR="00B843E6" w:rsidRPr="00D03A86">
        <w:rPr>
          <w:szCs w:val="24"/>
        </w:rPr>
        <w:t xml:space="preserve"> T</w:t>
      </w:r>
      <w:r w:rsidR="005F6D89" w:rsidRPr="00D03A86">
        <w:rPr>
          <w:szCs w:val="24"/>
        </w:rPr>
        <w:t>he same</w:t>
      </w:r>
      <w:r w:rsidR="00B843E6" w:rsidRPr="00D03A86">
        <w:rPr>
          <w:szCs w:val="24"/>
        </w:rPr>
        <w:t xml:space="preserve"> </w:t>
      </w:r>
      <w:r w:rsidR="00B843E6" w:rsidRPr="00D03A86">
        <w:rPr>
          <w:i/>
          <w:szCs w:val="24"/>
        </w:rPr>
        <w:t>electronic</w:t>
      </w:r>
      <w:r w:rsidR="00B843E6" w:rsidRPr="00D03A86">
        <w:rPr>
          <w:szCs w:val="24"/>
        </w:rPr>
        <w:t xml:space="preserve"> administrative process</w:t>
      </w:r>
      <w:r w:rsidR="00935E0C" w:rsidRPr="00D03A86">
        <w:rPr>
          <w:szCs w:val="24"/>
        </w:rPr>
        <w:t xml:space="preserve"> has been</w:t>
      </w:r>
      <w:r w:rsidR="005F6D89" w:rsidRPr="00D03A86">
        <w:rPr>
          <w:szCs w:val="24"/>
        </w:rPr>
        <w:t xml:space="preserve"> since July 2018</w:t>
      </w:r>
      <w:r w:rsidR="00AD1463" w:rsidRPr="00D03A86">
        <w:rPr>
          <w:szCs w:val="24"/>
        </w:rPr>
        <w:t xml:space="preserve"> gradually expanding</w:t>
      </w:r>
      <w:r w:rsidR="00B843E6" w:rsidRPr="00D03A86">
        <w:rPr>
          <w:szCs w:val="24"/>
        </w:rPr>
        <w:t xml:space="preserve"> to the rest of the regions in the country.</w:t>
      </w:r>
      <w:r w:rsidR="00B843E6" w:rsidRPr="00D03A86">
        <w:rPr>
          <w:rStyle w:val="FootnoteReference"/>
          <w:szCs w:val="24"/>
        </w:rPr>
        <w:footnoteReference w:id="21"/>
      </w:r>
    </w:p>
    <w:p w14:paraId="6D2FC623" w14:textId="77777777" w:rsidR="00E52246" w:rsidRPr="00D03A86" w:rsidRDefault="00E52246" w:rsidP="00940136">
      <w:pPr>
        <w:spacing w:after="0" w:line="240" w:lineRule="auto"/>
        <w:jc w:val="both"/>
        <w:rPr>
          <w:szCs w:val="24"/>
        </w:rPr>
      </w:pPr>
    </w:p>
    <w:p w14:paraId="08F88B36" w14:textId="03FF0384" w:rsidR="00C724DC" w:rsidRPr="00D03A86" w:rsidRDefault="00C724DC" w:rsidP="00940136">
      <w:pPr>
        <w:spacing w:after="0" w:line="240" w:lineRule="auto"/>
        <w:jc w:val="both"/>
        <w:rPr>
          <w:szCs w:val="24"/>
        </w:rPr>
      </w:pPr>
      <w:r w:rsidRPr="00D03A86">
        <w:rPr>
          <w:szCs w:val="24"/>
        </w:rPr>
        <w:t>An outline of the key features of this assessment process is provided in Part 1 of this report (</w:t>
      </w:r>
      <w:r w:rsidRPr="00D03A86">
        <w:rPr>
          <w:b/>
          <w:szCs w:val="24"/>
        </w:rPr>
        <w:t xml:space="preserve">see Example </w:t>
      </w:r>
      <w:r w:rsidR="00DE751F" w:rsidRPr="00D03A86">
        <w:rPr>
          <w:b/>
          <w:szCs w:val="24"/>
        </w:rPr>
        <w:t>2</w:t>
      </w:r>
      <w:r w:rsidRPr="00D03A86">
        <w:rPr>
          <w:szCs w:val="24"/>
        </w:rPr>
        <w:t>).</w:t>
      </w:r>
    </w:p>
    <w:p w14:paraId="5A53BC3C" w14:textId="0B550642" w:rsidR="00624010" w:rsidRPr="00D03A86" w:rsidRDefault="00624010" w:rsidP="00940136">
      <w:pPr>
        <w:spacing w:after="0" w:line="240" w:lineRule="auto"/>
        <w:jc w:val="both"/>
        <w:rPr>
          <w:szCs w:val="24"/>
        </w:rPr>
      </w:pPr>
    </w:p>
    <w:p w14:paraId="75884CB9" w14:textId="0DA97B03" w:rsidR="00C724DC" w:rsidRPr="00D03A86" w:rsidRDefault="00C724DC" w:rsidP="00940136">
      <w:pPr>
        <w:pStyle w:val="Heading3"/>
        <w:spacing w:before="0" w:line="240" w:lineRule="auto"/>
        <w:jc w:val="both"/>
        <w:rPr>
          <w:szCs w:val="24"/>
        </w:rPr>
      </w:pPr>
      <w:r w:rsidRPr="00D03A86">
        <w:rPr>
          <w:szCs w:val="24"/>
        </w:rPr>
        <w:t>Detailed description of the assessment process</w:t>
      </w:r>
    </w:p>
    <w:p w14:paraId="75593C1A" w14:textId="515A4F93" w:rsidR="006D2E52" w:rsidRPr="00D03A86" w:rsidRDefault="006D2E52" w:rsidP="00940136">
      <w:pPr>
        <w:spacing w:after="0" w:line="240" w:lineRule="auto"/>
        <w:jc w:val="both"/>
        <w:rPr>
          <w:szCs w:val="24"/>
        </w:rPr>
      </w:pPr>
    </w:p>
    <w:p w14:paraId="635C8991" w14:textId="77777777" w:rsidR="00673C5E" w:rsidRPr="00D03A86" w:rsidRDefault="00673C5E" w:rsidP="00673C5E">
      <w:pPr>
        <w:spacing w:after="0" w:line="240" w:lineRule="auto"/>
        <w:jc w:val="both"/>
        <w:rPr>
          <w:i/>
          <w:color w:val="4F81BD" w:themeColor="accent1"/>
        </w:rPr>
      </w:pPr>
      <w:bookmarkStart w:id="9" w:name="_Hlk524097139"/>
      <w:r w:rsidRPr="00D03A86">
        <w:rPr>
          <w:i/>
          <w:color w:val="4F81BD" w:themeColor="accent1"/>
        </w:rPr>
        <w:t>The main stages of the process, from application to decision, and appeal against decision, detailing the types of professionals involved and their responsibilities. Please also describe the administrative arrangements and the roles of the different institutions involved in the process. Please indicate what role the person being assessed plays in the procedure.</w:t>
      </w:r>
    </w:p>
    <w:bookmarkEnd w:id="9"/>
    <w:p w14:paraId="10ABA34E" w14:textId="77777777" w:rsidR="00673C5E" w:rsidRPr="00D03A86" w:rsidRDefault="00673C5E" w:rsidP="00940136">
      <w:pPr>
        <w:spacing w:after="0" w:line="240" w:lineRule="auto"/>
        <w:jc w:val="both"/>
        <w:rPr>
          <w:szCs w:val="24"/>
        </w:rPr>
      </w:pPr>
    </w:p>
    <w:p w14:paraId="4824C3D8" w14:textId="50A9E574" w:rsidR="00690094" w:rsidRPr="00D03A86" w:rsidRDefault="009E6C69" w:rsidP="00940136">
      <w:pPr>
        <w:spacing w:after="0" w:line="240" w:lineRule="auto"/>
        <w:jc w:val="both"/>
        <w:rPr>
          <w:szCs w:val="24"/>
        </w:rPr>
      </w:pPr>
      <w:r w:rsidRPr="00D03A86">
        <w:rPr>
          <w:szCs w:val="24"/>
        </w:rPr>
        <w:t>Law</w:t>
      </w:r>
      <w:r w:rsidR="007E1CB8" w:rsidRPr="00D03A86">
        <w:rPr>
          <w:szCs w:val="24"/>
        </w:rPr>
        <w:t xml:space="preserve"> 4512/2018</w:t>
      </w:r>
      <w:r w:rsidR="003E0874" w:rsidRPr="00D03A86">
        <w:rPr>
          <w:rStyle w:val="FootnoteReference"/>
          <w:szCs w:val="24"/>
        </w:rPr>
        <w:footnoteReference w:id="22"/>
      </w:r>
      <w:r w:rsidR="007E1CB8" w:rsidRPr="00D03A86">
        <w:rPr>
          <w:szCs w:val="24"/>
        </w:rPr>
        <w:t xml:space="preserve"> (</w:t>
      </w:r>
      <w:r w:rsidRPr="00D03A86">
        <w:rPr>
          <w:szCs w:val="24"/>
        </w:rPr>
        <w:t>Article 215</w:t>
      </w:r>
      <w:r w:rsidR="007E1CB8" w:rsidRPr="00D03A86">
        <w:rPr>
          <w:szCs w:val="24"/>
        </w:rPr>
        <w:t>) enacted a</w:t>
      </w:r>
      <w:r w:rsidR="00556ADF" w:rsidRPr="00D03A86">
        <w:rPr>
          <w:szCs w:val="24"/>
        </w:rPr>
        <w:t xml:space="preserve"> pilot </w:t>
      </w:r>
      <w:r w:rsidR="007E1CB8" w:rsidRPr="00D03A86">
        <w:rPr>
          <w:szCs w:val="24"/>
        </w:rPr>
        <w:t>assessment process for</w:t>
      </w:r>
      <w:r w:rsidR="00523855" w:rsidRPr="00D03A86">
        <w:rPr>
          <w:szCs w:val="24"/>
        </w:rPr>
        <w:t xml:space="preserve"> the provision of disability welfare benefits</w:t>
      </w:r>
      <w:r w:rsidR="0031419B" w:rsidRPr="00D03A86">
        <w:rPr>
          <w:rStyle w:val="FootnoteReference"/>
          <w:szCs w:val="24"/>
        </w:rPr>
        <w:footnoteReference w:id="23"/>
      </w:r>
      <w:r w:rsidR="000773CD" w:rsidRPr="00D03A86">
        <w:rPr>
          <w:szCs w:val="24"/>
        </w:rPr>
        <w:t xml:space="preserve"> (i.e. for uninsured people)</w:t>
      </w:r>
      <w:r w:rsidR="00523855" w:rsidRPr="00D03A86">
        <w:rPr>
          <w:szCs w:val="24"/>
        </w:rPr>
        <w:t xml:space="preserve"> </w:t>
      </w:r>
      <w:r w:rsidR="00917167" w:rsidRPr="00D03A86">
        <w:rPr>
          <w:szCs w:val="24"/>
        </w:rPr>
        <w:t xml:space="preserve">by an existing </w:t>
      </w:r>
      <w:r w:rsidR="003E0874" w:rsidRPr="00D03A86">
        <w:rPr>
          <w:szCs w:val="24"/>
        </w:rPr>
        <w:t>cent</w:t>
      </w:r>
      <w:r w:rsidR="00917167" w:rsidRPr="00D03A86">
        <w:rPr>
          <w:szCs w:val="24"/>
        </w:rPr>
        <w:t>ralized body in a new role which will include</w:t>
      </w:r>
      <w:r w:rsidR="00136F96" w:rsidRPr="00D03A86">
        <w:rPr>
          <w:szCs w:val="24"/>
        </w:rPr>
        <w:t>,</w:t>
      </w:r>
      <w:r w:rsidR="003E0874" w:rsidRPr="00D03A86">
        <w:rPr>
          <w:szCs w:val="24"/>
        </w:rPr>
        <w:t xml:space="preserve"> </w:t>
      </w:r>
      <w:r w:rsidR="003E0874" w:rsidRPr="00D03A86">
        <w:rPr>
          <w:i/>
          <w:szCs w:val="24"/>
        </w:rPr>
        <w:t>additionally to the</w:t>
      </w:r>
      <w:r w:rsidR="003E0874" w:rsidRPr="00D03A86">
        <w:rPr>
          <w:szCs w:val="24"/>
        </w:rPr>
        <w:t xml:space="preserve"> </w:t>
      </w:r>
      <w:r w:rsidR="00917167" w:rsidRPr="00D03A86">
        <w:rPr>
          <w:i/>
          <w:szCs w:val="24"/>
        </w:rPr>
        <w:t>existing procedure</w:t>
      </w:r>
      <w:r w:rsidR="00136F96" w:rsidRPr="00D03A86">
        <w:rPr>
          <w:i/>
          <w:szCs w:val="24"/>
        </w:rPr>
        <w:t>,</w:t>
      </w:r>
      <w:r w:rsidR="003E0874" w:rsidRPr="00D03A86">
        <w:rPr>
          <w:szCs w:val="24"/>
        </w:rPr>
        <w:t xml:space="preserve"> information about </w:t>
      </w:r>
      <w:r w:rsidR="00DA722D" w:rsidRPr="00D03A86">
        <w:rPr>
          <w:szCs w:val="24"/>
        </w:rPr>
        <w:t xml:space="preserve">functional capacity in performing </w:t>
      </w:r>
      <w:r w:rsidR="003E0874" w:rsidRPr="00D03A86">
        <w:rPr>
          <w:szCs w:val="24"/>
        </w:rPr>
        <w:t>daily activities of a person with a disability</w:t>
      </w:r>
      <w:r w:rsidR="00DA722D" w:rsidRPr="00D03A86">
        <w:rPr>
          <w:szCs w:val="24"/>
        </w:rPr>
        <w:t xml:space="preserve"> (WHO DAS 2.0 questionnaire)</w:t>
      </w:r>
      <w:r w:rsidR="003E0874" w:rsidRPr="00D03A86">
        <w:rPr>
          <w:szCs w:val="24"/>
        </w:rPr>
        <w:t xml:space="preserve">. </w:t>
      </w:r>
      <w:r w:rsidR="00CF2D63" w:rsidRPr="00D03A86">
        <w:rPr>
          <w:szCs w:val="24"/>
        </w:rPr>
        <w:t>The pilot concerns those who will submit an application for welfare benefits</w:t>
      </w:r>
      <w:r w:rsidR="00917167" w:rsidRPr="00D03A86">
        <w:rPr>
          <w:szCs w:val="24"/>
        </w:rPr>
        <w:t xml:space="preserve"> for the first time</w:t>
      </w:r>
      <w:r w:rsidR="00CF2D63" w:rsidRPr="00D03A86">
        <w:rPr>
          <w:szCs w:val="24"/>
        </w:rPr>
        <w:t xml:space="preserve"> in the Region of Attica (includes capital city </w:t>
      </w:r>
      <w:r w:rsidR="009217CA" w:rsidRPr="00D03A86">
        <w:rPr>
          <w:szCs w:val="24"/>
        </w:rPr>
        <w:t xml:space="preserve">of </w:t>
      </w:r>
      <w:r w:rsidR="00CF2D63" w:rsidRPr="00D03A86">
        <w:rPr>
          <w:szCs w:val="24"/>
        </w:rPr>
        <w:t>Athens)</w:t>
      </w:r>
      <w:r w:rsidR="009217CA" w:rsidRPr="00D03A86">
        <w:rPr>
          <w:szCs w:val="24"/>
        </w:rPr>
        <w:t>.</w:t>
      </w:r>
      <w:r w:rsidR="00724F0B" w:rsidRPr="00D03A86">
        <w:rPr>
          <w:szCs w:val="24"/>
        </w:rPr>
        <w:t xml:space="preserve"> </w:t>
      </w:r>
      <w:r w:rsidR="00690094" w:rsidRPr="00D03A86">
        <w:rPr>
          <w:szCs w:val="24"/>
        </w:rPr>
        <w:t xml:space="preserve">The pilot project has started. </w:t>
      </w:r>
    </w:p>
    <w:p w14:paraId="20D47048" w14:textId="77777777" w:rsidR="00EA22D7" w:rsidRPr="00D03A86" w:rsidRDefault="00EA22D7" w:rsidP="00940136">
      <w:pPr>
        <w:spacing w:after="0" w:line="240" w:lineRule="auto"/>
        <w:jc w:val="both"/>
        <w:rPr>
          <w:szCs w:val="24"/>
        </w:rPr>
      </w:pPr>
    </w:p>
    <w:p w14:paraId="7EBAFA20" w14:textId="10E43C2C" w:rsidR="009E6C69" w:rsidRPr="00D03A86" w:rsidRDefault="00724F0B" w:rsidP="00940136">
      <w:pPr>
        <w:spacing w:after="0" w:line="240" w:lineRule="auto"/>
        <w:jc w:val="both"/>
        <w:rPr>
          <w:szCs w:val="24"/>
        </w:rPr>
      </w:pPr>
      <w:r w:rsidRPr="00D03A86">
        <w:rPr>
          <w:szCs w:val="24"/>
        </w:rPr>
        <w:t>This assessment method assesses</w:t>
      </w:r>
      <w:r w:rsidR="006425CA" w:rsidRPr="00D03A86">
        <w:rPr>
          <w:szCs w:val="24"/>
        </w:rPr>
        <w:t xml:space="preserve"> functional</w:t>
      </w:r>
      <w:r w:rsidRPr="00D03A86">
        <w:rPr>
          <w:szCs w:val="24"/>
        </w:rPr>
        <w:t xml:space="preserve"> capacity (test of ability to carry out specified tasks or activity).</w:t>
      </w:r>
    </w:p>
    <w:p w14:paraId="1EE51870" w14:textId="77777777" w:rsidR="00EA22D7" w:rsidRPr="00D03A86" w:rsidRDefault="00EA22D7" w:rsidP="00940136">
      <w:pPr>
        <w:spacing w:after="0" w:line="240" w:lineRule="auto"/>
        <w:jc w:val="both"/>
        <w:rPr>
          <w:szCs w:val="24"/>
        </w:rPr>
      </w:pPr>
    </w:p>
    <w:p w14:paraId="65F10328" w14:textId="58707708" w:rsidR="00876FCD" w:rsidRPr="00D03A86" w:rsidRDefault="00876FCD" w:rsidP="00940136">
      <w:pPr>
        <w:spacing w:after="0" w:line="240" w:lineRule="auto"/>
        <w:jc w:val="both"/>
        <w:rPr>
          <w:szCs w:val="24"/>
        </w:rPr>
      </w:pPr>
      <w:r w:rsidRPr="00D03A86">
        <w:rPr>
          <w:szCs w:val="24"/>
        </w:rPr>
        <w:t>The</w:t>
      </w:r>
      <w:r w:rsidR="00882329" w:rsidRPr="00D03A86">
        <w:rPr>
          <w:szCs w:val="24"/>
        </w:rPr>
        <w:t xml:space="preserve"> newly founded</w:t>
      </w:r>
      <w:r w:rsidRPr="00D03A86">
        <w:rPr>
          <w:szCs w:val="24"/>
        </w:rPr>
        <w:t xml:space="preserve"> body to administer disability benefits</w:t>
      </w:r>
      <w:r w:rsidR="00165822" w:rsidRPr="00D03A86">
        <w:rPr>
          <w:szCs w:val="24"/>
        </w:rPr>
        <w:t xml:space="preserve"> (</w:t>
      </w:r>
      <w:r w:rsidR="00690094" w:rsidRPr="00D03A86">
        <w:rPr>
          <w:szCs w:val="24"/>
        </w:rPr>
        <w:t xml:space="preserve">established by </w:t>
      </w:r>
      <w:r w:rsidR="00165822" w:rsidRPr="00D03A86">
        <w:rPr>
          <w:szCs w:val="24"/>
        </w:rPr>
        <w:t>Law 4520/2018)</w:t>
      </w:r>
      <w:r w:rsidR="00F8075D" w:rsidRPr="00D03A86">
        <w:rPr>
          <w:szCs w:val="24"/>
        </w:rPr>
        <w:t>,</w:t>
      </w:r>
      <w:r w:rsidR="00EF6FA7" w:rsidRPr="00D03A86">
        <w:rPr>
          <w:rStyle w:val="FootnoteReference"/>
          <w:szCs w:val="24"/>
        </w:rPr>
        <w:footnoteReference w:id="24"/>
      </w:r>
      <w:r w:rsidR="00882329" w:rsidRPr="00D03A86">
        <w:rPr>
          <w:szCs w:val="24"/>
        </w:rPr>
        <w:t xml:space="preserve"> </w:t>
      </w:r>
      <w:r w:rsidR="00D20078" w:rsidRPr="00D03A86">
        <w:rPr>
          <w:szCs w:val="24"/>
        </w:rPr>
        <w:t>the Organisation</w:t>
      </w:r>
      <w:r w:rsidR="00882329" w:rsidRPr="00D03A86">
        <w:rPr>
          <w:szCs w:val="24"/>
        </w:rPr>
        <w:t xml:space="preserve"> of Welfare Benefits and Social Solidarity (OPEKA), works under the auspice</w:t>
      </w:r>
      <w:r w:rsidR="00793E11" w:rsidRPr="00D03A86">
        <w:rPr>
          <w:szCs w:val="24"/>
        </w:rPr>
        <w:t>s</w:t>
      </w:r>
      <w:r w:rsidR="00882329" w:rsidRPr="00D03A86">
        <w:rPr>
          <w:szCs w:val="24"/>
        </w:rPr>
        <w:t xml:space="preserve"> of the Ministry of Labour, Social Security and Social Solidarity</w:t>
      </w:r>
      <w:r w:rsidR="00793E11" w:rsidRPr="00D03A86">
        <w:rPr>
          <w:szCs w:val="24"/>
        </w:rPr>
        <w:t>. OPEKA</w:t>
      </w:r>
      <w:r w:rsidR="00A84BB4" w:rsidRPr="00D03A86">
        <w:rPr>
          <w:szCs w:val="24"/>
        </w:rPr>
        <w:t xml:space="preserve"> </w:t>
      </w:r>
      <w:r w:rsidR="00793E11" w:rsidRPr="00D03A86">
        <w:rPr>
          <w:szCs w:val="24"/>
        </w:rPr>
        <w:t>share</w:t>
      </w:r>
      <w:r w:rsidR="002D415A" w:rsidRPr="00D03A86">
        <w:rPr>
          <w:szCs w:val="24"/>
        </w:rPr>
        <w:t>s</w:t>
      </w:r>
      <w:r w:rsidR="00793E11" w:rsidRPr="00D03A86">
        <w:rPr>
          <w:szCs w:val="24"/>
        </w:rPr>
        <w:t xml:space="preserve"> electronic files of applicants (including medical folder submitted) with</w:t>
      </w:r>
      <w:r w:rsidR="00917167" w:rsidRPr="00D03A86">
        <w:rPr>
          <w:szCs w:val="24"/>
        </w:rPr>
        <w:t xml:space="preserve"> KEPA, </w:t>
      </w:r>
      <w:r w:rsidRPr="00D03A86">
        <w:rPr>
          <w:szCs w:val="24"/>
        </w:rPr>
        <w:t>which process</w:t>
      </w:r>
      <w:r w:rsidR="002D415A" w:rsidRPr="00D03A86">
        <w:rPr>
          <w:szCs w:val="24"/>
        </w:rPr>
        <w:t>es</w:t>
      </w:r>
      <w:r w:rsidRPr="00D03A86">
        <w:rPr>
          <w:szCs w:val="24"/>
        </w:rPr>
        <w:t xml:space="preserve"> </w:t>
      </w:r>
      <w:r w:rsidR="00556ADF" w:rsidRPr="00D03A86">
        <w:rPr>
          <w:szCs w:val="24"/>
        </w:rPr>
        <w:t xml:space="preserve">electronic </w:t>
      </w:r>
      <w:r w:rsidRPr="00D03A86">
        <w:rPr>
          <w:szCs w:val="24"/>
        </w:rPr>
        <w:t>applications</w:t>
      </w:r>
      <w:r w:rsidR="00387A9A" w:rsidRPr="00D03A86">
        <w:rPr>
          <w:szCs w:val="24"/>
        </w:rPr>
        <w:t>, carr</w:t>
      </w:r>
      <w:r w:rsidR="002D415A" w:rsidRPr="00D03A86">
        <w:rPr>
          <w:szCs w:val="24"/>
        </w:rPr>
        <w:t>ies</w:t>
      </w:r>
      <w:r w:rsidR="00387A9A" w:rsidRPr="00D03A86">
        <w:rPr>
          <w:szCs w:val="24"/>
        </w:rPr>
        <w:t xml:space="preserve"> out assessments, </w:t>
      </w:r>
      <w:r w:rsidRPr="00D03A86">
        <w:rPr>
          <w:szCs w:val="24"/>
        </w:rPr>
        <w:t>communicate</w:t>
      </w:r>
      <w:r w:rsidR="002D415A" w:rsidRPr="00D03A86">
        <w:rPr>
          <w:szCs w:val="24"/>
        </w:rPr>
        <w:t>s</w:t>
      </w:r>
      <w:r w:rsidRPr="00D03A86">
        <w:rPr>
          <w:szCs w:val="24"/>
        </w:rPr>
        <w:t xml:space="preserve"> outcomes </w:t>
      </w:r>
      <w:r w:rsidR="00387A9A" w:rsidRPr="00D03A86">
        <w:rPr>
          <w:szCs w:val="24"/>
        </w:rPr>
        <w:t>and handle</w:t>
      </w:r>
      <w:r w:rsidR="002D415A" w:rsidRPr="00D03A86">
        <w:rPr>
          <w:szCs w:val="24"/>
        </w:rPr>
        <w:t>s</w:t>
      </w:r>
      <w:r w:rsidR="00387A9A" w:rsidRPr="00D03A86">
        <w:rPr>
          <w:szCs w:val="24"/>
        </w:rPr>
        <w:t xml:space="preserve"> appeals </w:t>
      </w:r>
      <w:r w:rsidRPr="00D03A86">
        <w:rPr>
          <w:szCs w:val="24"/>
        </w:rPr>
        <w:t xml:space="preserve">as described in the </w:t>
      </w:r>
      <w:r w:rsidR="00E83A5C" w:rsidRPr="00D03A86">
        <w:rPr>
          <w:szCs w:val="24"/>
        </w:rPr>
        <w:t xml:space="preserve">respective </w:t>
      </w:r>
      <w:r w:rsidRPr="00D03A86">
        <w:rPr>
          <w:szCs w:val="24"/>
        </w:rPr>
        <w:t xml:space="preserve">section </w:t>
      </w:r>
      <w:r w:rsidR="00E83A5C" w:rsidRPr="00D03A86">
        <w:rPr>
          <w:szCs w:val="24"/>
        </w:rPr>
        <w:t>in Example 1</w:t>
      </w:r>
      <w:r w:rsidR="00724F0B" w:rsidRPr="00D03A86">
        <w:rPr>
          <w:szCs w:val="24"/>
        </w:rPr>
        <w:t xml:space="preserve"> / Case study 1</w:t>
      </w:r>
      <w:r w:rsidRPr="00D03A86">
        <w:rPr>
          <w:szCs w:val="24"/>
        </w:rPr>
        <w:t>.</w:t>
      </w:r>
    </w:p>
    <w:p w14:paraId="55F695ED" w14:textId="4B2FB993" w:rsidR="00876FCD" w:rsidRPr="00D03A86" w:rsidRDefault="00876FCD" w:rsidP="00940136">
      <w:pPr>
        <w:spacing w:after="0" w:line="240" w:lineRule="auto"/>
        <w:jc w:val="both"/>
        <w:rPr>
          <w:szCs w:val="24"/>
        </w:rPr>
      </w:pPr>
    </w:p>
    <w:p w14:paraId="77B21BA2" w14:textId="45051611" w:rsidR="001F0B10" w:rsidRPr="00D03A86" w:rsidRDefault="00C90D4D" w:rsidP="00940136">
      <w:pPr>
        <w:spacing w:after="0" w:line="240" w:lineRule="auto"/>
        <w:jc w:val="both"/>
        <w:rPr>
          <w:szCs w:val="24"/>
        </w:rPr>
      </w:pPr>
      <w:r w:rsidRPr="00D03A86">
        <w:rPr>
          <w:szCs w:val="24"/>
        </w:rPr>
        <w:t>Candidates submit applications</w:t>
      </w:r>
      <w:r w:rsidR="0023773C" w:rsidRPr="00D03A86">
        <w:rPr>
          <w:szCs w:val="24"/>
        </w:rPr>
        <w:t xml:space="preserve"> and supporting documents</w:t>
      </w:r>
      <w:r w:rsidR="009217CA" w:rsidRPr="00D03A86">
        <w:rPr>
          <w:szCs w:val="24"/>
        </w:rPr>
        <w:t xml:space="preserve"> </w:t>
      </w:r>
      <w:r w:rsidRPr="00D03A86">
        <w:rPr>
          <w:szCs w:val="24"/>
        </w:rPr>
        <w:t>electronic</w:t>
      </w:r>
      <w:r w:rsidR="00F80506" w:rsidRPr="00D03A86">
        <w:rPr>
          <w:szCs w:val="24"/>
        </w:rPr>
        <w:t>ally</w:t>
      </w:r>
      <w:r w:rsidR="009217CA" w:rsidRPr="00D03A86">
        <w:rPr>
          <w:szCs w:val="24"/>
        </w:rPr>
        <w:t xml:space="preserve"> (only)</w:t>
      </w:r>
      <w:r w:rsidRPr="00D03A86">
        <w:rPr>
          <w:szCs w:val="24"/>
        </w:rPr>
        <w:t xml:space="preserve"> from </w:t>
      </w:r>
      <w:r w:rsidR="00F80506" w:rsidRPr="00D03A86">
        <w:rPr>
          <w:szCs w:val="24"/>
        </w:rPr>
        <w:t>a personal computer</w:t>
      </w:r>
      <w:r w:rsidRPr="00D03A86">
        <w:rPr>
          <w:szCs w:val="24"/>
        </w:rPr>
        <w:t>,</w:t>
      </w:r>
      <w:r w:rsidR="00F80506" w:rsidRPr="00D03A86">
        <w:rPr>
          <w:szCs w:val="24"/>
        </w:rPr>
        <w:t xml:space="preserve"> or</w:t>
      </w:r>
      <w:r w:rsidRPr="00D03A86">
        <w:rPr>
          <w:szCs w:val="24"/>
        </w:rPr>
        <w:t xml:space="preserve"> through the municipal community centres</w:t>
      </w:r>
      <w:r w:rsidR="00F80506" w:rsidRPr="00D03A86">
        <w:rPr>
          <w:szCs w:val="24"/>
        </w:rPr>
        <w:t xml:space="preserve"> </w:t>
      </w:r>
      <w:r w:rsidRPr="00D03A86">
        <w:rPr>
          <w:szCs w:val="24"/>
        </w:rPr>
        <w:t xml:space="preserve">or the central offices of OGA. </w:t>
      </w:r>
      <w:r w:rsidR="0023773C" w:rsidRPr="00D03A86">
        <w:rPr>
          <w:szCs w:val="24"/>
        </w:rPr>
        <w:t xml:space="preserve">For the purposes </w:t>
      </w:r>
      <w:r w:rsidR="00F80506" w:rsidRPr="00D03A86">
        <w:rPr>
          <w:szCs w:val="24"/>
        </w:rPr>
        <w:t xml:space="preserve">of the pilot program, the existing </w:t>
      </w:r>
      <w:r w:rsidR="00FB2DC4" w:rsidRPr="00D03A86">
        <w:rPr>
          <w:szCs w:val="24"/>
        </w:rPr>
        <w:t xml:space="preserve">KEPA </w:t>
      </w:r>
      <w:r w:rsidR="00793E11" w:rsidRPr="00D03A86">
        <w:rPr>
          <w:szCs w:val="24"/>
        </w:rPr>
        <w:t>health committees</w:t>
      </w:r>
      <w:r w:rsidR="0023773C" w:rsidRPr="00D03A86">
        <w:rPr>
          <w:szCs w:val="24"/>
        </w:rPr>
        <w:t xml:space="preserve"> </w:t>
      </w:r>
      <w:r w:rsidR="005902AD" w:rsidRPr="00D03A86">
        <w:rPr>
          <w:szCs w:val="24"/>
        </w:rPr>
        <w:lastRenderedPageBreak/>
        <w:t>additionally</w:t>
      </w:r>
      <w:r w:rsidR="0023773C" w:rsidRPr="00D03A86">
        <w:rPr>
          <w:szCs w:val="24"/>
        </w:rPr>
        <w:t xml:space="preserve"> </w:t>
      </w:r>
      <w:r w:rsidR="00837B7D" w:rsidRPr="00D03A86">
        <w:rPr>
          <w:szCs w:val="24"/>
        </w:rPr>
        <w:t>consist of</w:t>
      </w:r>
      <w:r w:rsidR="0023773C" w:rsidRPr="00D03A86">
        <w:rPr>
          <w:szCs w:val="24"/>
        </w:rPr>
        <w:t xml:space="preserve"> a rehabilitation physician or occupational doctor, who “in collaboration with the candidate”, complete the 12-item WHO DAS 2.0 questionnaire “regarding limitations faced in daily life activities, his/her current living conditions, the nature and range of the living conditions and obstacles to full social inclusion”</w:t>
      </w:r>
      <w:r w:rsidR="00F8075D" w:rsidRPr="00D03A86">
        <w:rPr>
          <w:szCs w:val="24"/>
        </w:rPr>
        <w:t>.</w:t>
      </w:r>
      <w:r w:rsidR="00F80506" w:rsidRPr="00D03A86">
        <w:rPr>
          <w:rStyle w:val="FootnoteReference"/>
          <w:szCs w:val="24"/>
        </w:rPr>
        <w:footnoteReference w:id="25"/>
      </w:r>
      <w:r w:rsidR="0023773C" w:rsidRPr="00D03A86">
        <w:rPr>
          <w:szCs w:val="24"/>
        </w:rPr>
        <w:t xml:space="preserve"> </w:t>
      </w:r>
      <w:r w:rsidR="00966ED1" w:rsidRPr="00D03A86">
        <w:rPr>
          <w:szCs w:val="24"/>
        </w:rPr>
        <w:t xml:space="preserve">The findings of the questionnaire </w:t>
      </w:r>
      <w:r w:rsidR="002D415A" w:rsidRPr="00D03A86">
        <w:rPr>
          <w:szCs w:val="24"/>
        </w:rPr>
        <w:t xml:space="preserve">are </w:t>
      </w:r>
      <w:r w:rsidR="00966ED1" w:rsidRPr="00D03A86">
        <w:rPr>
          <w:szCs w:val="24"/>
        </w:rPr>
        <w:t>annexed to the final decision outcome</w:t>
      </w:r>
      <w:r w:rsidR="00724F0B" w:rsidRPr="00D03A86">
        <w:rPr>
          <w:szCs w:val="24"/>
        </w:rPr>
        <w:t xml:space="preserve"> and </w:t>
      </w:r>
      <w:r w:rsidR="002D415A" w:rsidRPr="00D03A86">
        <w:rPr>
          <w:szCs w:val="24"/>
        </w:rPr>
        <w:t>are</w:t>
      </w:r>
      <w:r w:rsidR="00724F0B" w:rsidRPr="00D03A86">
        <w:rPr>
          <w:szCs w:val="24"/>
        </w:rPr>
        <w:t xml:space="preserve"> taken into account in the assessment</w:t>
      </w:r>
      <w:r w:rsidR="00966ED1" w:rsidRPr="00D03A86">
        <w:rPr>
          <w:szCs w:val="24"/>
        </w:rPr>
        <w:t>.</w:t>
      </w:r>
      <w:r w:rsidR="00A84BB4" w:rsidRPr="00D03A86">
        <w:rPr>
          <w:szCs w:val="24"/>
        </w:rPr>
        <w:t xml:space="preserve"> </w:t>
      </w:r>
    </w:p>
    <w:p w14:paraId="0CC6DEC3" w14:textId="77777777" w:rsidR="009E6C69" w:rsidRPr="00D03A86" w:rsidRDefault="009E6C69" w:rsidP="00940136">
      <w:pPr>
        <w:spacing w:after="0" w:line="240" w:lineRule="auto"/>
        <w:jc w:val="both"/>
        <w:rPr>
          <w:szCs w:val="24"/>
        </w:rPr>
      </w:pPr>
    </w:p>
    <w:p w14:paraId="1DA34FBE" w14:textId="2386FDE4" w:rsidR="00C724DC" w:rsidRPr="00D03A86" w:rsidRDefault="00C724DC" w:rsidP="00940136">
      <w:pPr>
        <w:pStyle w:val="Heading3"/>
        <w:spacing w:before="0" w:line="240" w:lineRule="auto"/>
        <w:jc w:val="both"/>
        <w:rPr>
          <w:szCs w:val="24"/>
        </w:rPr>
      </w:pPr>
      <w:r w:rsidRPr="00D03A86">
        <w:rPr>
          <w:szCs w:val="24"/>
        </w:rPr>
        <w:t>Sources of official guidance and assessment protocols</w:t>
      </w:r>
    </w:p>
    <w:p w14:paraId="0784A554" w14:textId="231E6E40" w:rsidR="00265AF9" w:rsidRPr="00D03A86" w:rsidRDefault="00265AF9" w:rsidP="00940136">
      <w:pPr>
        <w:spacing w:after="0" w:line="240" w:lineRule="auto"/>
        <w:jc w:val="both"/>
        <w:rPr>
          <w:szCs w:val="24"/>
        </w:rPr>
      </w:pPr>
    </w:p>
    <w:p w14:paraId="5D5DB0FB" w14:textId="77777777" w:rsidR="00673C5E" w:rsidRPr="00D03A86" w:rsidRDefault="00673C5E" w:rsidP="00673C5E">
      <w:pPr>
        <w:spacing w:after="0" w:line="240" w:lineRule="auto"/>
        <w:jc w:val="both"/>
        <w:rPr>
          <w:i/>
          <w:color w:val="4F81BD" w:themeColor="accent1"/>
        </w:rPr>
      </w:pPr>
      <w:bookmarkStart w:id="10" w:name="_Hlk524097157"/>
      <w:r w:rsidRPr="00D03A86">
        <w:rPr>
          <w:i/>
          <w:color w:val="4F81BD" w:themeColor="accent1"/>
        </w:rPr>
        <w:t>Details of the guidance provided to assessors, methodology used, questionnaires, assessment scales, pro-forma used in the process, etc, with links to sources where available.</w:t>
      </w:r>
    </w:p>
    <w:bookmarkEnd w:id="10"/>
    <w:p w14:paraId="617840E0" w14:textId="77777777" w:rsidR="00673C5E" w:rsidRPr="00D03A86" w:rsidRDefault="00673C5E" w:rsidP="00940136">
      <w:pPr>
        <w:spacing w:after="0" w:line="240" w:lineRule="auto"/>
        <w:jc w:val="both"/>
        <w:rPr>
          <w:szCs w:val="24"/>
        </w:rPr>
      </w:pPr>
    </w:p>
    <w:p w14:paraId="2B83BADA" w14:textId="24686FC3" w:rsidR="000D1659" w:rsidRPr="00D03A86" w:rsidRDefault="000547F9" w:rsidP="00940136">
      <w:pPr>
        <w:spacing w:after="0" w:line="240" w:lineRule="auto"/>
        <w:jc w:val="both"/>
        <w:rPr>
          <w:szCs w:val="24"/>
        </w:rPr>
      </w:pPr>
      <w:r w:rsidRPr="00D03A86">
        <w:rPr>
          <w:szCs w:val="24"/>
        </w:rPr>
        <w:t xml:space="preserve">No further </w:t>
      </w:r>
      <w:r w:rsidR="00A24E89" w:rsidRPr="00D03A86">
        <w:rPr>
          <w:szCs w:val="24"/>
        </w:rPr>
        <w:t xml:space="preserve">assessment </w:t>
      </w:r>
      <w:r w:rsidRPr="00D03A86">
        <w:rPr>
          <w:szCs w:val="24"/>
        </w:rPr>
        <w:t>guidance</w:t>
      </w:r>
      <w:r w:rsidR="00D71550" w:rsidRPr="00D03A86">
        <w:rPr>
          <w:szCs w:val="24"/>
        </w:rPr>
        <w:t xml:space="preserve"> other than the WHO DAS 2.0</w:t>
      </w:r>
      <w:r w:rsidRPr="00D03A86">
        <w:rPr>
          <w:szCs w:val="24"/>
        </w:rPr>
        <w:t xml:space="preserve"> </w:t>
      </w:r>
      <w:r w:rsidR="00D71550" w:rsidRPr="00D03A86">
        <w:rPr>
          <w:szCs w:val="24"/>
        </w:rPr>
        <w:t>questionnaire</w:t>
      </w:r>
      <w:r w:rsidR="00D71550" w:rsidRPr="00D03A86">
        <w:rPr>
          <w:rStyle w:val="FootnoteReference"/>
          <w:szCs w:val="24"/>
        </w:rPr>
        <w:footnoteReference w:id="26"/>
      </w:r>
      <w:r w:rsidR="00D71550" w:rsidRPr="00D03A86">
        <w:rPr>
          <w:szCs w:val="24"/>
        </w:rPr>
        <w:t xml:space="preserve"> </w:t>
      </w:r>
      <w:r w:rsidR="002663D1" w:rsidRPr="00D03A86">
        <w:rPr>
          <w:szCs w:val="24"/>
        </w:rPr>
        <w:t xml:space="preserve">is </w:t>
      </w:r>
      <w:r w:rsidRPr="00D03A86">
        <w:rPr>
          <w:szCs w:val="24"/>
        </w:rPr>
        <w:t xml:space="preserve">publicly available at the moment. </w:t>
      </w:r>
      <w:r w:rsidR="00585248" w:rsidRPr="00D03A86">
        <w:rPr>
          <w:szCs w:val="24"/>
        </w:rPr>
        <w:t>At the initial stage of the pilot, it had not been</w:t>
      </w:r>
      <w:r w:rsidR="000D1659" w:rsidRPr="00D03A86">
        <w:rPr>
          <w:szCs w:val="24"/>
        </w:rPr>
        <w:t xml:space="preserve"> clear how the new assessment method (WHO DAS 2.0) w</w:t>
      </w:r>
      <w:r w:rsidR="00585248" w:rsidRPr="00D03A86">
        <w:rPr>
          <w:szCs w:val="24"/>
        </w:rPr>
        <w:t>ould</w:t>
      </w:r>
      <w:r w:rsidR="000D1659" w:rsidRPr="00D03A86">
        <w:rPr>
          <w:szCs w:val="24"/>
        </w:rPr>
        <w:t xml:space="preserve"> be interpreted and implemented in terms of eligibility to disability benefits.</w:t>
      </w:r>
      <w:r w:rsidR="00416701" w:rsidRPr="00D03A86">
        <w:rPr>
          <w:szCs w:val="24"/>
        </w:rPr>
        <w:t xml:space="preserve"> In the new </w:t>
      </w:r>
      <w:r w:rsidR="00D81100" w:rsidRPr="00D03A86">
        <w:rPr>
          <w:szCs w:val="24"/>
        </w:rPr>
        <w:t xml:space="preserve">disability welfare benefits </w:t>
      </w:r>
      <w:r w:rsidR="00416701" w:rsidRPr="00D03A86">
        <w:rPr>
          <w:szCs w:val="24"/>
        </w:rPr>
        <w:t>guide issued by OPEKA</w:t>
      </w:r>
      <w:r w:rsidR="00362D3C" w:rsidRPr="00D03A86">
        <w:rPr>
          <w:szCs w:val="24"/>
        </w:rPr>
        <w:t>,</w:t>
      </w:r>
      <w:r w:rsidR="00416701" w:rsidRPr="00D03A86">
        <w:rPr>
          <w:rStyle w:val="FootnoteReference"/>
          <w:szCs w:val="24"/>
        </w:rPr>
        <w:footnoteReference w:id="27"/>
      </w:r>
      <w:r w:rsidR="00416701" w:rsidRPr="00D03A86">
        <w:rPr>
          <w:szCs w:val="24"/>
        </w:rPr>
        <w:t xml:space="preserve"> following the state</w:t>
      </w:r>
      <w:r w:rsidR="000A783B" w:rsidRPr="00D03A86">
        <w:rPr>
          <w:szCs w:val="24"/>
        </w:rPr>
        <w:t>’s</w:t>
      </w:r>
      <w:r w:rsidR="00416701" w:rsidRPr="00D03A86">
        <w:rPr>
          <w:szCs w:val="24"/>
        </w:rPr>
        <w:t xml:space="preserve"> decision for the extension of the pilot</w:t>
      </w:r>
      <w:r w:rsidR="00362D3C" w:rsidRPr="00D03A86">
        <w:rPr>
          <w:szCs w:val="24"/>
        </w:rPr>
        <w:t>,</w:t>
      </w:r>
      <w:r w:rsidR="00416701" w:rsidRPr="00D03A86">
        <w:rPr>
          <w:rStyle w:val="FootnoteReference"/>
          <w:szCs w:val="24"/>
        </w:rPr>
        <w:footnoteReference w:id="28"/>
      </w:r>
      <w:r w:rsidR="002A215D" w:rsidRPr="00D03A86">
        <w:rPr>
          <w:szCs w:val="24"/>
        </w:rPr>
        <w:t xml:space="preserve"> it is explicitly emphasised that “the questionnaire does not affect the judgment and decision of the health committee as to the provision of disability benefits”. </w:t>
      </w:r>
    </w:p>
    <w:p w14:paraId="6DEAB62E" w14:textId="77777777" w:rsidR="00793E11" w:rsidRPr="00D03A86" w:rsidRDefault="00793E11" w:rsidP="00940136">
      <w:pPr>
        <w:spacing w:after="0" w:line="240" w:lineRule="auto"/>
        <w:jc w:val="both"/>
        <w:rPr>
          <w:szCs w:val="24"/>
        </w:rPr>
      </w:pPr>
    </w:p>
    <w:p w14:paraId="5FC6C50A" w14:textId="55E739DB" w:rsidR="00C724DC" w:rsidRPr="00D03A86" w:rsidRDefault="00C724DC" w:rsidP="00940136">
      <w:pPr>
        <w:pStyle w:val="Heading3"/>
        <w:spacing w:before="0" w:line="240" w:lineRule="auto"/>
        <w:jc w:val="both"/>
        <w:rPr>
          <w:szCs w:val="24"/>
        </w:rPr>
      </w:pPr>
      <w:r w:rsidRPr="00D03A86">
        <w:rPr>
          <w:szCs w:val="24"/>
        </w:rPr>
        <w:t>Implementation and outcomes</w:t>
      </w:r>
    </w:p>
    <w:p w14:paraId="22A3771A" w14:textId="3276BEC1" w:rsidR="00EA22D7" w:rsidRPr="00D03A86" w:rsidRDefault="00EA22D7" w:rsidP="00940136">
      <w:pPr>
        <w:spacing w:after="0" w:line="240" w:lineRule="auto"/>
        <w:jc w:val="both"/>
        <w:rPr>
          <w:szCs w:val="24"/>
        </w:rPr>
      </w:pPr>
    </w:p>
    <w:p w14:paraId="42467E43" w14:textId="77777777" w:rsidR="00673C5E" w:rsidRPr="00D03A86" w:rsidRDefault="00673C5E" w:rsidP="00673C5E">
      <w:pPr>
        <w:spacing w:after="0" w:line="240" w:lineRule="auto"/>
        <w:jc w:val="both"/>
        <w:rPr>
          <w:i/>
          <w:color w:val="4F81BD" w:themeColor="accent1"/>
        </w:rPr>
      </w:pPr>
      <w:bookmarkStart w:id="11" w:name="_Hlk524097172"/>
      <w:r w:rsidRPr="00D03A86">
        <w:rPr>
          <w:i/>
          <w:color w:val="4F81BD" w:themeColor="accent1"/>
        </w:rPr>
        <w:t>Evidence of the practical implementation, including where possible the number of persons assessed, average waiting times and the assessment outcomes.</w:t>
      </w:r>
    </w:p>
    <w:bookmarkEnd w:id="11"/>
    <w:p w14:paraId="1080CE81" w14:textId="77777777" w:rsidR="00673C5E" w:rsidRPr="00D03A86" w:rsidRDefault="00673C5E" w:rsidP="00940136">
      <w:pPr>
        <w:spacing w:after="0" w:line="240" w:lineRule="auto"/>
        <w:jc w:val="both"/>
        <w:rPr>
          <w:szCs w:val="24"/>
        </w:rPr>
      </w:pPr>
    </w:p>
    <w:p w14:paraId="565B2F85" w14:textId="4703713B" w:rsidR="00265AF9" w:rsidRPr="00D03A86" w:rsidRDefault="00D0729B" w:rsidP="00940136">
      <w:pPr>
        <w:spacing w:after="0" w:line="240" w:lineRule="auto"/>
        <w:jc w:val="both"/>
        <w:rPr>
          <w:szCs w:val="24"/>
        </w:rPr>
      </w:pPr>
      <w:r w:rsidRPr="00D03A86">
        <w:rPr>
          <w:szCs w:val="24"/>
        </w:rPr>
        <w:t xml:space="preserve">No evidence is available as yet. The pilot program </w:t>
      </w:r>
      <w:r w:rsidR="00690094" w:rsidRPr="00D03A86">
        <w:rPr>
          <w:szCs w:val="24"/>
        </w:rPr>
        <w:t xml:space="preserve">has now started and </w:t>
      </w:r>
      <w:r w:rsidRPr="00D03A86">
        <w:rPr>
          <w:szCs w:val="24"/>
        </w:rPr>
        <w:t xml:space="preserve">is expected to run from </w:t>
      </w:r>
      <w:r w:rsidR="002663D1" w:rsidRPr="00D03A86">
        <w:rPr>
          <w:szCs w:val="24"/>
        </w:rPr>
        <w:t>February</w:t>
      </w:r>
      <w:r w:rsidRPr="00D03A86">
        <w:rPr>
          <w:szCs w:val="24"/>
        </w:rPr>
        <w:t xml:space="preserve"> to end of June 2018.</w:t>
      </w:r>
    </w:p>
    <w:p w14:paraId="1AEDE094" w14:textId="741CF38A" w:rsidR="00B333D2" w:rsidRPr="00D03A86" w:rsidRDefault="00B333D2" w:rsidP="00940136">
      <w:pPr>
        <w:spacing w:after="0" w:line="240" w:lineRule="auto"/>
        <w:jc w:val="both"/>
        <w:rPr>
          <w:szCs w:val="24"/>
        </w:rPr>
      </w:pPr>
    </w:p>
    <w:p w14:paraId="7DD09857" w14:textId="77777777" w:rsidR="00C724DC" w:rsidRPr="00D03A86" w:rsidRDefault="00C724DC" w:rsidP="00940136">
      <w:pPr>
        <w:pStyle w:val="Heading3"/>
        <w:spacing w:before="0" w:line="240" w:lineRule="auto"/>
        <w:jc w:val="both"/>
        <w:rPr>
          <w:szCs w:val="24"/>
        </w:rPr>
      </w:pPr>
      <w:r w:rsidRPr="00D03A86">
        <w:rPr>
          <w:szCs w:val="24"/>
        </w:rPr>
        <w:t>Evaluation – fitness for purpose</w:t>
      </w:r>
    </w:p>
    <w:p w14:paraId="49488D6D" w14:textId="001ECC4B" w:rsidR="00DF43AD" w:rsidRPr="00D03A86" w:rsidRDefault="00DF43AD" w:rsidP="00940136">
      <w:pPr>
        <w:spacing w:after="0" w:line="240" w:lineRule="auto"/>
        <w:jc w:val="both"/>
        <w:rPr>
          <w:szCs w:val="24"/>
        </w:rPr>
      </w:pPr>
    </w:p>
    <w:p w14:paraId="60798EC9" w14:textId="77777777" w:rsidR="00673C5E" w:rsidRPr="00D03A86" w:rsidRDefault="00673C5E" w:rsidP="00673C5E">
      <w:pPr>
        <w:spacing w:after="0" w:line="240" w:lineRule="auto"/>
        <w:jc w:val="both"/>
        <w:rPr>
          <w:i/>
          <w:color w:val="4F81BD" w:themeColor="accent1"/>
        </w:rPr>
      </w:pPr>
      <w:bookmarkStart w:id="12" w:name="_Hlk524097184"/>
      <w:r w:rsidRPr="00D03A86">
        <w:rPr>
          <w:i/>
          <w:color w:val="4F81BD" w:themeColor="accent1"/>
        </w:rPr>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 Please indicate if there is a regular evaluation of the assessment method and, if so, who carries that out. Please include references to evaluations which have been carried out.</w:t>
      </w:r>
    </w:p>
    <w:bookmarkEnd w:id="12"/>
    <w:p w14:paraId="388FFC9D" w14:textId="77777777" w:rsidR="00673C5E" w:rsidRPr="00D03A86" w:rsidRDefault="00673C5E" w:rsidP="00940136">
      <w:pPr>
        <w:spacing w:after="0" w:line="240" w:lineRule="auto"/>
        <w:jc w:val="both"/>
        <w:rPr>
          <w:szCs w:val="24"/>
        </w:rPr>
      </w:pPr>
    </w:p>
    <w:p w14:paraId="611ACE32" w14:textId="3282BF47" w:rsidR="00DF43AD" w:rsidRPr="00D03A86" w:rsidRDefault="00DF43AD" w:rsidP="00940136">
      <w:pPr>
        <w:spacing w:after="0" w:line="240" w:lineRule="auto"/>
        <w:jc w:val="both"/>
        <w:rPr>
          <w:szCs w:val="24"/>
        </w:rPr>
      </w:pPr>
      <w:r w:rsidRPr="00D03A86">
        <w:rPr>
          <w:szCs w:val="24"/>
        </w:rPr>
        <w:t xml:space="preserve">The </w:t>
      </w:r>
      <w:r w:rsidR="007F5582" w:rsidRPr="00D03A86">
        <w:rPr>
          <w:szCs w:val="24"/>
        </w:rPr>
        <w:t xml:space="preserve">“introduction of the </w:t>
      </w:r>
      <w:r w:rsidRPr="00D03A86">
        <w:rPr>
          <w:szCs w:val="24"/>
        </w:rPr>
        <w:t>concept of functionality in the disability certification process</w:t>
      </w:r>
      <w:r w:rsidR="007F5582" w:rsidRPr="00D03A86">
        <w:rPr>
          <w:szCs w:val="24"/>
        </w:rPr>
        <w:t>”</w:t>
      </w:r>
      <w:r w:rsidRPr="00D03A86">
        <w:rPr>
          <w:szCs w:val="24"/>
        </w:rPr>
        <w:t xml:space="preserve"> has been </w:t>
      </w:r>
      <w:r w:rsidR="005159B4" w:rsidRPr="00D03A86">
        <w:rPr>
          <w:szCs w:val="24"/>
        </w:rPr>
        <w:t xml:space="preserve">rather </w:t>
      </w:r>
      <w:r w:rsidRPr="00D03A86">
        <w:rPr>
          <w:szCs w:val="24"/>
        </w:rPr>
        <w:t xml:space="preserve">negatively received by </w:t>
      </w:r>
      <w:r w:rsidR="007F5582" w:rsidRPr="00D03A86">
        <w:rPr>
          <w:szCs w:val="24"/>
        </w:rPr>
        <w:t>the Nationa</w:t>
      </w:r>
      <w:r w:rsidR="005159B4" w:rsidRPr="00D03A86">
        <w:rPr>
          <w:szCs w:val="24"/>
        </w:rPr>
        <w:t>l Federation of Disabled People, representing a number of</w:t>
      </w:r>
      <w:r w:rsidR="007F5582" w:rsidRPr="00D03A86">
        <w:rPr>
          <w:szCs w:val="24"/>
        </w:rPr>
        <w:t xml:space="preserve"> </w:t>
      </w:r>
      <w:r w:rsidRPr="00D03A86">
        <w:rPr>
          <w:szCs w:val="24"/>
        </w:rPr>
        <w:t>disability organisations</w:t>
      </w:r>
      <w:r w:rsidR="00846FD5" w:rsidRPr="00D03A86">
        <w:rPr>
          <w:szCs w:val="24"/>
        </w:rPr>
        <w:t xml:space="preserve"> across the country, acting also</w:t>
      </w:r>
      <w:r w:rsidR="007F5582" w:rsidRPr="00D03A86">
        <w:rPr>
          <w:szCs w:val="24"/>
        </w:rPr>
        <w:t xml:space="preserve"> as Social State Partner in matters of disability, specifying that the pilot implementation “can only be acceptable” under the condition that the new process does not involve </w:t>
      </w:r>
      <w:r w:rsidR="007F5582" w:rsidRPr="00D03A86">
        <w:rPr>
          <w:szCs w:val="24"/>
        </w:rPr>
        <w:lastRenderedPageBreak/>
        <w:t>changing eligibility criteria, reducing disability benefits or disrupting existing certification</w:t>
      </w:r>
      <w:r w:rsidR="00136F96" w:rsidRPr="00D03A86">
        <w:rPr>
          <w:szCs w:val="24"/>
        </w:rPr>
        <w:t xml:space="preserve"> processes</w:t>
      </w:r>
      <w:r w:rsidR="00EA22D7" w:rsidRPr="00D03A86">
        <w:rPr>
          <w:szCs w:val="24"/>
        </w:rPr>
        <w:t>.</w:t>
      </w:r>
      <w:r w:rsidRPr="00D03A86">
        <w:rPr>
          <w:rStyle w:val="FootnoteReference"/>
          <w:szCs w:val="24"/>
        </w:rPr>
        <w:footnoteReference w:id="29"/>
      </w:r>
    </w:p>
    <w:p w14:paraId="4ED26E94" w14:textId="77777777" w:rsidR="00DF43AD" w:rsidRPr="00D03A86" w:rsidRDefault="00DF43AD" w:rsidP="00940136">
      <w:pPr>
        <w:spacing w:after="0" w:line="240" w:lineRule="auto"/>
        <w:jc w:val="both"/>
        <w:rPr>
          <w:szCs w:val="24"/>
        </w:rPr>
      </w:pPr>
    </w:p>
    <w:p w14:paraId="01FA4F84" w14:textId="7828816E" w:rsidR="0096013A" w:rsidRPr="00D03A86" w:rsidRDefault="005A36F1" w:rsidP="00940136">
      <w:pPr>
        <w:spacing w:after="0" w:line="240" w:lineRule="auto"/>
        <w:jc w:val="both"/>
        <w:rPr>
          <w:szCs w:val="24"/>
        </w:rPr>
      </w:pPr>
      <w:r w:rsidRPr="00D03A86">
        <w:rPr>
          <w:szCs w:val="24"/>
        </w:rPr>
        <w:t xml:space="preserve">It is interesting that the press release </w:t>
      </w:r>
      <w:r w:rsidR="00CC6700" w:rsidRPr="00D03A86">
        <w:rPr>
          <w:szCs w:val="24"/>
        </w:rPr>
        <w:t xml:space="preserve">of the National Federation </w:t>
      </w:r>
      <w:r w:rsidRPr="00D03A86">
        <w:rPr>
          <w:szCs w:val="24"/>
        </w:rPr>
        <w:t xml:space="preserve">also makes note of a failed attempt in the past </w:t>
      </w:r>
      <w:r w:rsidR="00437FE9" w:rsidRPr="00D03A86">
        <w:rPr>
          <w:szCs w:val="24"/>
        </w:rPr>
        <w:t xml:space="preserve">to establish ICF assessment methodology </w:t>
      </w:r>
      <w:r w:rsidRPr="00D03A86">
        <w:rPr>
          <w:szCs w:val="24"/>
        </w:rPr>
        <w:t>(</w:t>
      </w:r>
      <w:r w:rsidR="00437FE9" w:rsidRPr="00D03A86">
        <w:rPr>
          <w:szCs w:val="24"/>
        </w:rPr>
        <w:t>2004-2008)</w:t>
      </w:r>
      <w:r w:rsidRPr="00D03A86">
        <w:rPr>
          <w:szCs w:val="24"/>
        </w:rPr>
        <w:t>, which according to the various stakeholders involved at the time</w:t>
      </w:r>
      <w:r w:rsidR="00474BE2" w:rsidRPr="00D03A86">
        <w:rPr>
          <w:szCs w:val="24"/>
        </w:rPr>
        <w:t>,</w:t>
      </w:r>
      <w:r w:rsidRPr="00D03A86">
        <w:rPr>
          <w:szCs w:val="24"/>
        </w:rPr>
        <w:t xml:space="preserve"> </w:t>
      </w:r>
      <w:r w:rsidR="006C10F2" w:rsidRPr="00D03A86">
        <w:rPr>
          <w:szCs w:val="24"/>
        </w:rPr>
        <w:t xml:space="preserve">had </w:t>
      </w:r>
      <w:r w:rsidRPr="00D03A86">
        <w:rPr>
          <w:szCs w:val="24"/>
        </w:rPr>
        <w:t>owed mainly to lack of coordination</w:t>
      </w:r>
      <w:r w:rsidR="0019038B" w:rsidRPr="00D03A86">
        <w:rPr>
          <w:szCs w:val="24"/>
        </w:rPr>
        <w:t xml:space="preserve"> among ministries and </w:t>
      </w:r>
      <w:r w:rsidR="002B3B3A" w:rsidRPr="00D03A86">
        <w:rPr>
          <w:szCs w:val="24"/>
        </w:rPr>
        <w:t>administrative services</w:t>
      </w:r>
      <w:r w:rsidRPr="00D03A86">
        <w:rPr>
          <w:szCs w:val="24"/>
        </w:rPr>
        <w:t xml:space="preserve">, </w:t>
      </w:r>
      <w:r w:rsidR="0019038B" w:rsidRPr="00D03A86">
        <w:rPr>
          <w:szCs w:val="24"/>
        </w:rPr>
        <w:t xml:space="preserve">but also </w:t>
      </w:r>
      <w:r w:rsidR="006C10F2" w:rsidRPr="00D03A86">
        <w:rPr>
          <w:szCs w:val="24"/>
        </w:rPr>
        <w:t xml:space="preserve">to </w:t>
      </w:r>
      <w:r w:rsidR="0019038B" w:rsidRPr="00D03A86">
        <w:rPr>
          <w:szCs w:val="24"/>
        </w:rPr>
        <w:t xml:space="preserve">lack of </w:t>
      </w:r>
      <w:r w:rsidRPr="00D03A86">
        <w:rPr>
          <w:szCs w:val="24"/>
        </w:rPr>
        <w:t>political interest and will to change (Pavli 2017).</w:t>
      </w:r>
      <w:r w:rsidR="00733B7C" w:rsidRPr="00D03A86">
        <w:rPr>
          <w:szCs w:val="24"/>
        </w:rPr>
        <w:t xml:space="preserve"> From a disability perspective, there was </w:t>
      </w:r>
      <w:r w:rsidR="00ED3AEE" w:rsidRPr="00D03A86">
        <w:rPr>
          <w:szCs w:val="24"/>
        </w:rPr>
        <w:t>further resistance putting forward that th</w:t>
      </w:r>
      <w:r w:rsidR="00724F0B" w:rsidRPr="00D03A86">
        <w:rPr>
          <w:szCs w:val="24"/>
        </w:rPr>
        <w:t>e ICF assessment methodology</w:t>
      </w:r>
      <w:r w:rsidR="00733B7C" w:rsidRPr="00D03A86">
        <w:rPr>
          <w:szCs w:val="24"/>
        </w:rPr>
        <w:t xml:space="preserve"> focuses</w:t>
      </w:r>
      <w:r w:rsidR="00BD248B" w:rsidRPr="00D03A86">
        <w:rPr>
          <w:szCs w:val="24"/>
        </w:rPr>
        <w:t xml:space="preserve"> on individual limitations stripped of contextual</w:t>
      </w:r>
      <w:r w:rsidR="00D46D47" w:rsidRPr="00D03A86">
        <w:rPr>
          <w:szCs w:val="24"/>
        </w:rPr>
        <w:t xml:space="preserve"> fa</w:t>
      </w:r>
      <w:r w:rsidR="00ED3AEE" w:rsidRPr="00D03A86">
        <w:rPr>
          <w:szCs w:val="24"/>
        </w:rPr>
        <w:t>cto</w:t>
      </w:r>
      <w:r w:rsidR="00474BE2" w:rsidRPr="00D03A86">
        <w:rPr>
          <w:szCs w:val="24"/>
        </w:rPr>
        <w:t xml:space="preserve">rs and barriers, which would likely </w:t>
      </w:r>
      <w:r w:rsidR="00ED3AEE" w:rsidRPr="00D03A86">
        <w:rPr>
          <w:szCs w:val="24"/>
        </w:rPr>
        <w:t>lead to</w:t>
      </w:r>
      <w:r w:rsidR="00AA71C0" w:rsidRPr="00D03A86">
        <w:rPr>
          <w:szCs w:val="24"/>
        </w:rPr>
        <w:t xml:space="preserve"> reduced eligibility to</w:t>
      </w:r>
      <w:r w:rsidR="00BD248B" w:rsidRPr="00D03A86">
        <w:rPr>
          <w:szCs w:val="24"/>
        </w:rPr>
        <w:t xml:space="preserve"> benefits</w:t>
      </w:r>
      <w:r w:rsidR="006F48EB" w:rsidRPr="00D03A86">
        <w:rPr>
          <w:szCs w:val="24"/>
        </w:rPr>
        <w:t xml:space="preserve"> </w:t>
      </w:r>
      <w:r w:rsidR="00136F96" w:rsidRPr="00D03A86">
        <w:rPr>
          <w:szCs w:val="24"/>
        </w:rPr>
        <w:t>(Pavli 2017).</w:t>
      </w:r>
      <w:r w:rsidR="00BD248B" w:rsidRPr="00D03A86">
        <w:rPr>
          <w:szCs w:val="24"/>
        </w:rPr>
        <w:t xml:space="preserve"> </w:t>
      </w:r>
    </w:p>
    <w:p w14:paraId="0ED6F130" w14:textId="77777777" w:rsidR="005E6060" w:rsidRPr="00D03A86" w:rsidRDefault="005E6060" w:rsidP="00940136">
      <w:pPr>
        <w:pStyle w:val="ListParagraph"/>
        <w:spacing w:after="0" w:line="240" w:lineRule="auto"/>
        <w:jc w:val="both"/>
        <w:rPr>
          <w:szCs w:val="24"/>
        </w:rPr>
      </w:pPr>
    </w:p>
    <w:p w14:paraId="34AC9BF9" w14:textId="2E1B3D49" w:rsidR="00EF1232" w:rsidRPr="00D03A86" w:rsidRDefault="00FC4EB5" w:rsidP="00940136">
      <w:pPr>
        <w:spacing w:after="0" w:line="240" w:lineRule="auto"/>
        <w:jc w:val="both"/>
        <w:rPr>
          <w:szCs w:val="24"/>
        </w:rPr>
      </w:pPr>
      <w:r w:rsidRPr="00D03A86">
        <w:rPr>
          <w:szCs w:val="24"/>
        </w:rPr>
        <w:t>It is i</w:t>
      </w:r>
      <w:r w:rsidR="0096013A" w:rsidRPr="00D03A86">
        <w:rPr>
          <w:szCs w:val="24"/>
        </w:rPr>
        <w:t xml:space="preserve">nteresting </w:t>
      </w:r>
      <w:r w:rsidR="006F48EB" w:rsidRPr="00D03A86">
        <w:rPr>
          <w:szCs w:val="24"/>
        </w:rPr>
        <w:t>to mention the perspective of</w:t>
      </w:r>
      <w:r w:rsidR="0096013A" w:rsidRPr="00D03A86">
        <w:rPr>
          <w:szCs w:val="24"/>
        </w:rPr>
        <w:t xml:space="preserve"> a policy maker </w:t>
      </w:r>
      <w:r w:rsidRPr="00D03A86">
        <w:rPr>
          <w:szCs w:val="24"/>
        </w:rPr>
        <w:t xml:space="preserve">involved </w:t>
      </w:r>
      <w:r w:rsidR="006F48EB" w:rsidRPr="00D03A86">
        <w:rPr>
          <w:szCs w:val="24"/>
        </w:rPr>
        <w:t xml:space="preserve">in developing ICF based disability assessment </w:t>
      </w:r>
      <w:r w:rsidRPr="00D03A86">
        <w:rPr>
          <w:szCs w:val="24"/>
        </w:rPr>
        <w:t xml:space="preserve">at the time </w:t>
      </w:r>
      <w:r w:rsidR="0096013A" w:rsidRPr="00D03A86">
        <w:rPr>
          <w:szCs w:val="24"/>
        </w:rPr>
        <w:t xml:space="preserve">(Pavli 2017, p. 178), that this </w:t>
      </w:r>
      <w:r w:rsidR="006F48EB" w:rsidRPr="00D03A86">
        <w:rPr>
          <w:szCs w:val="24"/>
        </w:rPr>
        <w:t xml:space="preserve">system </w:t>
      </w:r>
      <w:r w:rsidR="00724F0B" w:rsidRPr="00D03A86">
        <w:rPr>
          <w:szCs w:val="24"/>
        </w:rPr>
        <w:t>w</w:t>
      </w:r>
      <w:r w:rsidR="0096013A" w:rsidRPr="00D03A86">
        <w:rPr>
          <w:szCs w:val="24"/>
        </w:rPr>
        <w:t xml:space="preserve">ould in principle require more resources </w:t>
      </w:r>
      <w:r w:rsidR="00CC6700" w:rsidRPr="00D03A86">
        <w:rPr>
          <w:szCs w:val="24"/>
        </w:rPr>
        <w:t>being spent on</w:t>
      </w:r>
      <w:r w:rsidR="0096013A" w:rsidRPr="00D03A86">
        <w:rPr>
          <w:szCs w:val="24"/>
        </w:rPr>
        <w:t xml:space="preserve"> infrastructure for s</w:t>
      </w:r>
      <w:r w:rsidR="007563DB" w:rsidRPr="00D03A86">
        <w:rPr>
          <w:szCs w:val="24"/>
        </w:rPr>
        <w:t>ocial inclusion and less spen</w:t>
      </w:r>
      <w:r w:rsidR="00CC6700" w:rsidRPr="00D03A86">
        <w:rPr>
          <w:szCs w:val="24"/>
        </w:rPr>
        <w:t>ding</w:t>
      </w:r>
      <w:r w:rsidR="007563DB" w:rsidRPr="00D03A86">
        <w:rPr>
          <w:szCs w:val="24"/>
        </w:rPr>
        <w:t xml:space="preserve"> on</w:t>
      </w:r>
      <w:r w:rsidR="0096013A" w:rsidRPr="00D03A86">
        <w:rPr>
          <w:szCs w:val="24"/>
        </w:rPr>
        <w:t xml:space="preserve"> benefits, </w:t>
      </w:r>
      <w:r w:rsidR="00503FA5" w:rsidRPr="00D03A86">
        <w:rPr>
          <w:szCs w:val="24"/>
        </w:rPr>
        <w:t xml:space="preserve">questioning </w:t>
      </w:r>
      <w:r w:rsidR="0096013A" w:rsidRPr="00D03A86">
        <w:rPr>
          <w:szCs w:val="24"/>
        </w:rPr>
        <w:t>whether this wou</w:t>
      </w:r>
      <w:r w:rsidR="00EF1232" w:rsidRPr="00D03A86">
        <w:rPr>
          <w:szCs w:val="24"/>
        </w:rPr>
        <w:t xml:space="preserve">ld be acceptable by the state </w:t>
      </w:r>
      <w:r w:rsidR="000B71BF" w:rsidRPr="00D03A86">
        <w:rPr>
          <w:szCs w:val="24"/>
        </w:rPr>
        <w:t>or</w:t>
      </w:r>
      <w:r w:rsidR="0096013A" w:rsidRPr="00D03A86">
        <w:rPr>
          <w:szCs w:val="24"/>
        </w:rPr>
        <w:t xml:space="preserve"> beneficiaries</w:t>
      </w:r>
      <w:r w:rsidR="000B71BF" w:rsidRPr="00D03A86">
        <w:rPr>
          <w:szCs w:val="24"/>
        </w:rPr>
        <w:t xml:space="preserve"> alike</w:t>
      </w:r>
      <w:r w:rsidR="0096013A" w:rsidRPr="00D03A86">
        <w:rPr>
          <w:szCs w:val="24"/>
        </w:rPr>
        <w:t>.</w:t>
      </w:r>
      <w:r w:rsidR="003E0A8D" w:rsidRPr="00D03A86">
        <w:rPr>
          <w:szCs w:val="24"/>
        </w:rPr>
        <w:t xml:space="preserve"> </w:t>
      </w:r>
    </w:p>
    <w:p w14:paraId="10AE4CC5" w14:textId="77777777" w:rsidR="00EF1232" w:rsidRPr="00D03A86" w:rsidRDefault="00EF1232" w:rsidP="00940136">
      <w:pPr>
        <w:spacing w:after="0" w:line="240" w:lineRule="auto"/>
        <w:jc w:val="both"/>
        <w:rPr>
          <w:szCs w:val="24"/>
        </w:rPr>
      </w:pPr>
    </w:p>
    <w:p w14:paraId="5ADFAA68" w14:textId="3EF19713" w:rsidR="00437FE9" w:rsidRPr="00D03A86" w:rsidRDefault="003E0A8D" w:rsidP="00940136">
      <w:pPr>
        <w:spacing w:after="0" w:line="240" w:lineRule="auto"/>
        <w:jc w:val="both"/>
        <w:rPr>
          <w:szCs w:val="24"/>
        </w:rPr>
      </w:pPr>
      <w:r w:rsidRPr="00D03A86">
        <w:rPr>
          <w:szCs w:val="24"/>
        </w:rPr>
        <w:t xml:space="preserve">This is equally relevant </w:t>
      </w:r>
      <w:r w:rsidR="0021382F" w:rsidRPr="00D03A86">
        <w:rPr>
          <w:szCs w:val="24"/>
        </w:rPr>
        <w:t>and at stake in the current social dialogue around the new assessment process.</w:t>
      </w:r>
      <w:r w:rsidR="00EF1232" w:rsidRPr="00D03A86">
        <w:rPr>
          <w:szCs w:val="24"/>
        </w:rPr>
        <w:t xml:space="preserve"> </w:t>
      </w:r>
      <w:r w:rsidR="00A17092" w:rsidRPr="00D03A86">
        <w:rPr>
          <w:szCs w:val="24"/>
        </w:rPr>
        <w:t>For instance, t</w:t>
      </w:r>
      <w:r w:rsidR="00EF1232" w:rsidRPr="00D03A86">
        <w:rPr>
          <w:szCs w:val="24"/>
        </w:rPr>
        <w:t xml:space="preserve">he </w:t>
      </w:r>
      <w:r w:rsidR="00865CB1" w:rsidRPr="00D03A86">
        <w:rPr>
          <w:szCs w:val="24"/>
        </w:rPr>
        <w:t xml:space="preserve">National Federation for the Rights of People in the Autistic Spectrum (EODAF) </w:t>
      </w:r>
      <w:r w:rsidR="0079172E" w:rsidRPr="00D03A86">
        <w:rPr>
          <w:szCs w:val="24"/>
        </w:rPr>
        <w:t xml:space="preserve">has communicated to the parliament and relevant stakeholders that the </w:t>
      </w:r>
      <w:r w:rsidR="00865CB1" w:rsidRPr="00D03A86">
        <w:rPr>
          <w:szCs w:val="24"/>
        </w:rPr>
        <w:t>WHO</w:t>
      </w:r>
      <w:r w:rsidR="0079172E" w:rsidRPr="00D03A86">
        <w:rPr>
          <w:szCs w:val="24"/>
        </w:rPr>
        <w:t xml:space="preserve"> </w:t>
      </w:r>
      <w:r w:rsidR="00865CB1" w:rsidRPr="00D03A86">
        <w:rPr>
          <w:szCs w:val="24"/>
        </w:rPr>
        <w:t>DAS 2.0</w:t>
      </w:r>
      <w:r w:rsidR="0079172E" w:rsidRPr="00D03A86">
        <w:rPr>
          <w:szCs w:val="24"/>
        </w:rPr>
        <w:t xml:space="preserve"> tool </w:t>
      </w:r>
      <w:r w:rsidR="00724F0B" w:rsidRPr="00D03A86">
        <w:rPr>
          <w:szCs w:val="24"/>
        </w:rPr>
        <w:t xml:space="preserve">is </w:t>
      </w:r>
      <w:r w:rsidR="0079172E" w:rsidRPr="00D03A86">
        <w:rPr>
          <w:szCs w:val="24"/>
        </w:rPr>
        <w:t>centred</w:t>
      </w:r>
      <w:r w:rsidR="00865CB1" w:rsidRPr="00D03A86">
        <w:rPr>
          <w:szCs w:val="24"/>
        </w:rPr>
        <w:t xml:space="preserve"> around </w:t>
      </w:r>
      <w:r w:rsidR="0079172E" w:rsidRPr="00D03A86">
        <w:rPr>
          <w:szCs w:val="24"/>
        </w:rPr>
        <w:t>functionality and</w:t>
      </w:r>
      <w:r w:rsidR="00C7039F" w:rsidRPr="00D03A86">
        <w:rPr>
          <w:szCs w:val="24"/>
        </w:rPr>
        <w:t xml:space="preserve"> intelligence</w:t>
      </w:r>
      <w:r w:rsidR="00EA22D7" w:rsidRPr="00D03A86">
        <w:rPr>
          <w:szCs w:val="24"/>
        </w:rPr>
        <w:t xml:space="preserve">, </w:t>
      </w:r>
      <w:r w:rsidR="00724F0B" w:rsidRPr="00D03A86">
        <w:rPr>
          <w:szCs w:val="24"/>
        </w:rPr>
        <w:t xml:space="preserve">and </w:t>
      </w:r>
      <w:r w:rsidR="00C7039F" w:rsidRPr="00D03A86">
        <w:rPr>
          <w:szCs w:val="24"/>
        </w:rPr>
        <w:t>fail</w:t>
      </w:r>
      <w:r w:rsidR="00A17092" w:rsidRPr="00D03A86">
        <w:rPr>
          <w:szCs w:val="24"/>
        </w:rPr>
        <w:t>s</w:t>
      </w:r>
      <w:r w:rsidR="00C7039F" w:rsidRPr="00D03A86">
        <w:rPr>
          <w:szCs w:val="24"/>
        </w:rPr>
        <w:t xml:space="preserve"> to</w:t>
      </w:r>
      <w:r w:rsidR="0079172E" w:rsidRPr="00D03A86">
        <w:rPr>
          <w:szCs w:val="24"/>
        </w:rPr>
        <w:t xml:space="preserve"> capture limitations in the case of</w:t>
      </w:r>
      <w:r w:rsidR="00C7039F" w:rsidRPr="00D03A86">
        <w:rPr>
          <w:szCs w:val="24"/>
        </w:rPr>
        <w:t xml:space="preserve"> autism</w:t>
      </w:r>
      <w:r w:rsidR="00724F0B" w:rsidRPr="00D03A86">
        <w:rPr>
          <w:szCs w:val="24"/>
        </w:rPr>
        <w:t>,</w:t>
      </w:r>
      <w:r w:rsidR="00503FA5" w:rsidRPr="00D03A86">
        <w:rPr>
          <w:szCs w:val="24"/>
        </w:rPr>
        <w:t xml:space="preserve"> and threatens to reduce benefits to the detriment of people in the autistic spectrum</w:t>
      </w:r>
      <w:r w:rsidR="00C7039F" w:rsidRPr="00D03A86">
        <w:rPr>
          <w:szCs w:val="24"/>
        </w:rPr>
        <w:t>.</w:t>
      </w:r>
      <w:r w:rsidR="005279A6" w:rsidRPr="00D03A86">
        <w:rPr>
          <w:szCs w:val="24"/>
        </w:rPr>
        <w:t xml:space="preserve"> It is further emphasized that </w:t>
      </w:r>
      <w:r w:rsidR="009E6C69" w:rsidRPr="00D03A86">
        <w:rPr>
          <w:szCs w:val="24"/>
        </w:rPr>
        <w:t>“</w:t>
      </w:r>
      <w:r w:rsidR="005279A6" w:rsidRPr="00D03A86">
        <w:rPr>
          <w:szCs w:val="24"/>
        </w:rPr>
        <w:t xml:space="preserve">the </w:t>
      </w:r>
      <w:r w:rsidR="009E6C69" w:rsidRPr="00D03A86">
        <w:rPr>
          <w:szCs w:val="24"/>
        </w:rPr>
        <w:t>complex structure of assessment criteria, the huge social and cultural deviation</w:t>
      </w:r>
      <w:r w:rsidR="00EA22D7" w:rsidRPr="00D03A86">
        <w:rPr>
          <w:szCs w:val="24"/>
        </w:rPr>
        <w:t>,</w:t>
      </w:r>
      <w:r w:rsidR="009F6E27" w:rsidRPr="00D03A86">
        <w:rPr>
          <w:rStyle w:val="FootnoteReference"/>
          <w:szCs w:val="24"/>
        </w:rPr>
        <w:footnoteReference w:id="30"/>
      </w:r>
      <w:r w:rsidR="009E6C69" w:rsidRPr="00D03A86">
        <w:rPr>
          <w:szCs w:val="24"/>
        </w:rPr>
        <w:t xml:space="preserve"> and the high specialization </w:t>
      </w:r>
      <w:r w:rsidR="009F6E27" w:rsidRPr="00D03A86">
        <w:rPr>
          <w:szCs w:val="24"/>
        </w:rPr>
        <w:t xml:space="preserve">(i.e. of the assessors) </w:t>
      </w:r>
      <w:r w:rsidR="009E6C69" w:rsidRPr="00D03A86">
        <w:rPr>
          <w:szCs w:val="24"/>
        </w:rPr>
        <w:t>required” make the assessment process “impossible to be implemented in the right way in the Greek State”</w:t>
      </w:r>
      <w:r w:rsidR="00F8075D" w:rsidRPr="00D03A86">
        <w:rPr>
          <w:szCs w:val="24"/>
        </w:rPr>
        <w:t>.</w:t>
      </w:r>
      <w:r w:rsidR="005279A6" w:rsidRPr="00D03A86">
        <w:rPr>
          <w:rStyle w:val="FootnoteReference"/>
          <w:szCs w:val="24"/>
        </w:rPr>
        <w:footnoteReference w:id="31"/>
      </w:r>
      <w:r w:rsidR="009E6C69" w:rsidRPr="00D03A86">
        <w:rPr>
          <w:szCs w:val="24"/>
        </w:rPr>
        <w:t xml:space="preserve"> </w:t>
      </w:r>
    </w:p>
    <w:p w14:paraId="75FE92DE" w14:textId="77777777" w:rsidR="009E7819" w:rsidRPr="00D03A86" w:rsidRDefault="009E7819" w:rsidP="00940136">
      <w:pPr>
        <w:spacing w:after="0" w:line="240" w:lineRule="auto"/>
        <w:jc w:val="both"/>
        <w:rPr>
          <w:szCs w:val="24"/>
        </w:rPr>
      </w:pPr>
    </w:p>
    <w:p w14:paraId="035DC3B6" w14:textId="6654B63A" w:rsidR="00C724DC" w:rsidRPr="00D03A86" w:rsidRDefault="00C724DC" w:rsidP="00940136">
      <w:pPr>
        <w:pStyle w:val="Heading3"/>
        <w:spacing w:before="0" w:line="240" w:lineRule="auto"/>
        <w:jc w:val="both"/>
        <w:rPr>
          <w:szCs w:val="24"/>
        </w:rPr>
      </w:pPr>
      <w:r w:rsidRPr="00D03A86">
        <w:rPr>
          <w:szCs w:val="24"/>
        </w:rPr>
        <w:t>Promising practice</w:t>
      </w:r>
    </w:p>
    <w:p w14:paraId="3A74DBAC" w14:textId="31B64327" w:rsidR="00265AF9" w:rsidRPr="00D03A86" w:rsidRDefault="00265AF9" w:rsidP="00940136">
      <w:pPr>
        <w:spacing w:after="0" w:line="240" w:lineRule="auto"/>
        <w:jc w:val="both"/>
        <w:rPr>
          <w:szCs w:val="24"/>
        </w:rPr>
      </w:pPr>
    </w:p>
    <w:p w14:paraId="51D92528" w14:textId="77777777" w:rsidR="00673C5E" w:rsidRPr="00D03A86" w:rsidRDefault="00673C5E" w:rsidP="00673C5E">
      <w:pPr>
        <w:spacing w:after="0" w:line="240" w:lineRule="auto"/>
        <w:jc w:val="both"/>
        <w:rPr>
          <w:i/>
          <w:color w:val="4F81BD" w:themeColor="accent1"/>
        </w:rPr>
      </w:pPr>
      <w:bookmarkStart w:id="13" w:name="_Hlk524097197"/>
      <w:r w:rsidRPr="00D03A86">
        <w:rPr>
          <w:i/>
          <w:color w:val="4F81BD" w:themeColor="accent1"/>
        </w:rPr>
        <w:t>If the case study includes examples of good practice, of interest to the EU and other countries, then identify and explain the most promising elements. Please indicate if disabled peoples’ organisations have been involved in developing or evaluating the assessment method.</w:t>
      </w:r>
    </w:p>
    <w:bookmarkEnd w:id="13"/>
    <w:p w14:paraId="383AFBE5" w14:textId="77777777" w:rsidR="00673C5E" w:rsidRPr="00D03A86" w:rsidRDefault="00673C5E" w:rsidP="00940136">
      <w:pPr>
        <w:spacing w:after="0" w:line="240" w:lineRule="auto"/>
        <w:jc w:val="both"/>
        <w:rPr>
          <w:szCs w:val="24"/>
        </w:rPr>
      </w:pPr>
    </w:p>
    <w:p w14:paraId="712E2B40" w14:textId="647996D9" w:rsidR="00D979EB" w:rsidRPr="00D03A86" w:rsidRDefault="00D427B5" w:rsidP="00940136">
      <w:pPr>
        <w:spacing w:after="0" w:line="240" w:lineRule="auto"/>
        <w:jc w:val="both"/>
        <w:rPr>
          <w:szCs w:val="24"/>
        </w:rPr>
      </w:pPr>
      <w:r w:rsidRPr="00D03A86">
        <w:rPr>
          <w:szCs w:val="24"/>
        </w:rPr>
        <w:lastRenderedPageBreak/>
        <w:t xml:space="preserve">No evidence of promising practice at the moment. </w:t>
      </w:r>
    </w:p>
    <w:p w14:paraId="279CF207" w14:textId="2E642743" w:rsidR="009F6E27" w:rsidRPr="00D03A86" w:rsidRDefault="009F6E27" w:rsidP="00940136">
      <w:pPr>
        <w:spacing w:after="0" w:line="240" w:lineRule="auto"/>
        <w:jc w:val="both"/>
        <w:rPr>
          <w:szCs w:val="24"/>
        </w:rPr>
      </w:pPr>
    </w:p>
    <w:p w14:paraId="57FA7EAD" w14:textId="77777777" w:rsidR="009E7819" w:rsidRPr="00D03A86" w:rsidRDefault="009E7819" w:rsidP="00940136">
      <w:pPr>
        <w:spacing w:after="0" w:line="240" w:lineRule="auto"/>
        <w:rPr>
          <w:rFonts w:eastAsiaTheme="majorEastAsia"/>
          <w:b/>
          <w:bCs/>
          <w:szCs w:val="24"/>
        </w:rPr>
      </w:pPr>
      <w:r w:rsidRPr="00D03A86">
        <w:rPr>
          <w:szCs w:val="24"/>
        </w:rPr>
        <w:br w:type="page"/>
      </w:r>
    </w:p>
    <w:p w14:paraId="50642188" w14:textId="4763F2AB" w:rsidR="00EA22D7" w:rsidRPr="00D03A86" w:rsidRDefault="00D903F2" w:rsidP="00854397">
      <w:pPr>
        <w:pStyle w:val="Heading2"/>
        <w:jc w:val="both"/>
        <w:rPr>
          <w:szCs w:val="24"/>
        </w:rPr>
      </w:pPr>
      <w:bookmarkStart w:id="14" w:name="_Toc536024026"/>
      <w:bookmarkStart w:id="15" w:name="_GoBack"/>
      <w:bookmarkEnd w:id="15"/>
      <w:r w:rsidRPr="00D03A86">
        <w:rPr>
          <w:szCs w:val="24"/>
        </w:rPr>
        <w:lastRenderedPageBreak/>
        <w:t>Case study 3:</w:t>
      </w:r>
      <w:r w:rsidR="00854397" w:rsidRPr="00D03A86">
        <w:rPr>
          <w:szCs w:val="24"/>
        </w:rPr>
        <w:t xml:space="preserve"> </w:t>
      </w:r>
      <w:r w:rsidRPr="00D03A86">
        <w:rPr>
          <w:szCs w:val="24"/>
        </w:rPr>
        <w:t>Additional support at school (primary and secondary education)</w:t>
      </w:r>
      <w:bookmarkEnd w:id="14"/>
      <w:r w:rsidRPr="00D03A86">
        <w:rPr>
          <w:szCs w:val="24"/>
        </w:rPr>
        <w:t xml:space="preserve"> </w:t>
      </w:r>
    </w:p>
    <w:p w14:paraId="301B7D0B" w14:textId="0F5A3D99" w:rsidR="00673C5E" w:rsidRPr="00D03A86" w:rsidRDefault="00673C5E" w:rsidP="00673C5E">
      <w:pPr>
        <w:spacing w:after="0" w:line="240" w:lineRule="auto"/>
        <w:rPr>
          <w:b/>
          <w:i/>
          <w:color w:val="4F81BD" w:themeColor="accent1"/>
        </w:rPr>
      </w:pPr>
      <w:r w:rsidRPr="00D03A86">
        <w:rPr>
          <w:i/>
          <w:color w:val="4F81BD" w:themeColor="accent1"/>
        </w:rPr>
        <w:t>(eligibility for long-term care benefits as defined in MISSOC)</w:t>
      </w:r>
      <w:r w:rsidR="00410AE7" w:rsidRPr="00D03A86">
        <w:rPr>
          <w:i/>
          <w:color w:val="4F81BD" w:themeColor="accent1"/>
        </w:rPr>
        <w:t>.</w:t>
      </w:r>
    </w:p>
    <w:p w14:paraId="5996DF6E" w14:textId="77777777" w:rsidR="00673C5E" w:rsidRPr="00D03A86" w:rsidRDefault="00673C5E" w:rsidP="00940136">
      <w:pPr>
        <w:spacing w:after="0" w:line="240" w:lineRule="auto"/>
        <w:jc w:val="both"/>
        <w:rPr>
          <w:szCs w:val="24"/>
        </w:rPr>
      </w:pPr>
    </w:p>
    <w:p w14:paraId="38A3086A" w14:textId="4A21D1C8" w:rsidR="00A84D16" w:rsidRPr="00D03A86" w:rsidRDefault="00FF0A8E" w:rsidP="00940136">
      <w:pPr>
        <w:spacing w:after="0" w:line="240" w:lineRule="auto"/>
        <w:jc w:val="both"/>
        <w:rPr>
          <w:b/>
          <w:szCs w:val="24"/>
        </w:rPr>
      </w:pPr>
      <w:r w:rsidRPr="00D03A86">
        <w:rPr>
          <w:szCs w:val="24"/>
        </w:rPr>
        <w:t>The</w:t>
      </w:r>
      <w:r w:rsidR="00EA2F35" w:rsidRPr="00D03A86">
        <w:rPr>
          <w:szCs w:val="24"/>
        </w:rPr>
        <w:t xml:space="preserve"> recent</w:t>
      </w:r>
      <w:r w:rsidR="00356CF3" w:rsidRPr="00D03A86">
        <w:rPr>
          <w:szCs w:val="24"/>
        </w:rPr>
        <w:t xml:space="preserve">ly adopted </w:t>
      </w:r>
      <w:r w:rsidRPr="00D03A86">
        <w:rPr>
          <w:szCs w:val="24"/>
        </w:rPr>
        <w:t xml:space="preserve">law </w:t>
      </w:r>
      <w:r w:rsidRPr="00D03A86">
        <w:rPr>
          <w:i/>
          <w:szCs w:val="24"/>
        </w:rPr>
        <w:t>Reform of Support Structures in Primary and Secondary Education</w:t>
      </w:r>
      <w:r w:rsidR="00D205A4" w:rsidRPr="00D03A86">
        <w:rPr>
          <w:rStyle w:val="FootnoteReference"/>
          <w:szCs w:val="24"/>
        </w:rPr>
        <w:footnoteReference w:id="32"/>
      </w:r>
      <w:r w:rsidRPr="00D03A86">
        <w:rPr>
          <w:szCs w:val="24"/>
        </w:rPr>
        <w:t xml:space="preserve"> frames</w:t>
      </w:r>
      <w:r w:rsidR="00EA2F35" w:rsidRPr="00D03A86">
        <w:rPr>
          <w:szCs w:val="24"/>
        </w:rPr>
        <w:t xml:space="preserve"> anew</w:t>
      </w:r>
      <w:r w:rsidR="00944328" w:rsidRPr="00D03A86">
        <w:rPr>
          <w:szCs w:val="24"/>
        </w:rPr>
        <w:t xml:space="preserve"> the responsibility</w:t>
      </w:r>
      <w:r w:rsidR="00F3384E" w:rsidRPr="00D03A86">
        <w:rPr>
          <w:szCs w:val="24"/>
        </w:rPr>
        <w:t xml:space="preserve"> for</w:t>
      </w:r>
      <w:r w:rsidRPr="00D03A86">
        <w:rPr>
          <w:szCs w:val="24"/>
        </w:rPr>
        <w:t xml:space="preserve"> the </w:t>
      </w:r>
      <w:r w:rsidR="003C6A55" w:rsidRPr="00D03A86">
        <w:rPr>
          <w:szCs w:val="24"/>
        </w:rPr>
        <w:t xml:space="preserve">existing </w:t>
      </w:r>
      <w:r w:rsidRPr="00D03A86">
        <w:rPr>
          <w:szCs w:val="24"/>
        </w:rPr>
        <w:t>educational needs assessment and support</w:t>
      </w:r>
      <w:r w:rsidR="003C6A55" w:rsidRPr="00D03A86">
        <w:rPr>
          <w:rStyle w:val="FootnoteReference"/>
          <w:szCs w:val="24"/>
        </w:rPr>
        <w:footnoteReference w:id="33"/>
      </w:r>
      <w:r w:rsidRPr="00D03A86">
        <w:rPr>
          <w:szCs w:val="24"/>
        </w:rPr>
        <w:t xml:space="preserve"> </w:t>
      </w:r>
      <w:r w:rsidR="00D7135A" w:rsidRPr="00D03A86">
        <w:rPr>
          <w:szCs w:val="24"/>
        </w:rPr>
        <w:t>with</w:t>
      </w:r>
      <w:r w:rsidRPr="00D03A86">
        <w:rPr>
          <w:szCs w:val="24"/>
        </w:rPr>
        <w:t>in mainstream settings</w:t>
      </w:r>
      <w:r w:rsidR="00533895" w:rsidRPr="00D03A86">
        <w:rPr>
          <w:szCs w:val="24"/>
        </w:rPr>
        <w:t>,</w:t>
      </w:r>
      <w:r w:rsidRPr="00D03A86">
        <w:rPr>
          <w:szCs w:val="24"/>
        </w:rPr>
        <w:t xml:space="preserve"> </w:t>
      </w:r>
      <w:r w:rsidR="004C78B1" w:rsidRPr="00D03A86">
        <w:rPr>
          <w:szCs w:val="24"/>
        </w:rPr>
        <w:t>shared</w:t>
      </w:r>
      <w:r w:rsidRPr="00D03A86">
        <w:rPr>
          <w:szCs w:val="24"/>
        </w:rPr>
        <w:t xml:space="preserve"> among interdisciplinary networks </w:t>
      </w:r>
      <w:r w:rsidR="00533895" w:rsidRPr="00D03A86">
        <w:rPr>
          <w:szCs w:val="24"/>
        </w:rPr>
        <w:t>across</w:t>
      </w:r>
      <w:r w:rsidRPr="00D03A86">
        <w:rPr>
          <w:szCs w:val="24"/>
        </w:rPr>
        <w:t xml:space="preserve"> </w:t>
      </w:r>
      <w:r w:rsidR="002F695B" w:rsidRPr="00D03A86">
        <w:rPr>
          <w:szCs w:val="24"/>
        </w:rPr>
        <w:t xml:space="preserve">the </w:t>
      </w:r>
      <w:r w:rsidRPr="00D03A86">
        <w:rPr>
          <w:szCs w:val="24"/>
        </w:rPr>
        <w:t>educational community</w:t>
      </w:r>
      <w:r w:rsidR="00044952" w:rsidRPr="00D03A86">
        <w:rPr>
          <w:szCs w:val="24"/>
        </w:rPr>
        <w:t>, on school</w:t>
      </w:r>
      <w:r w:rsidR="00533895" w:rsidRPr="00D03A86">
        <w:rPr>
          <w:szCs w:val="24"/>
        </w:rPr>
        <w:t xml:space="preserve"> and regional levels</w:t>
      </w:r>
      <w:r w:rsidRPr="00D03A86">
        <w:rPr>
          <w:szCs w:val="24"/>
        </w:rPr>
        <w:t xml:space="preserve">. </w:t>
      </w:r>
      <w:r w:rsidR="00135508" w:rsidRPr="00D03A86">
        <w:rPr>
          <w:szCs w:val="24"/>
        </w:rPr>
        <w:t>This case study is identified as promising practice being influenced by the UN CRPD</w:t>
      </w:r>
      <w:r w:rsidR="007A725E" w:rsidRPr="00D03A86">
        <w:rPr>
          <w:szCs w:val="24"/>
        </w:rPr>
        <w:t xml:space="preserve"> with a clear shift from diagnostic</w:t>
      </w:r>
      <w:r w:rsidR="0034591F" w:rsidRPr="00D03A86">
        <w:rPr>
          <w:szCs w:val="24"/>
        </w:rPr>
        <w:t xml:space="preserve"> to </w:t>
      </w:r>
      <w:r w:rsidR="007A725E" w:rsidRPr="00D03A86">
        <w:rPr>
          <w:szCs w:val="24"/>
        </w:rPr>
        <w:t xml:space="preserve">holistic assessment and support of educational needs of pupils with disabilities. </w:t>
      </w:r>
      <w:r w:rsidR="00D903F2" w:rsidRPr="00D03A86">
        <w:rPr>
          <w:szCs w:val="24"/>
        </w:rPr>
        <w:t>An outline of the key features of this assessment process is provided in Part 1 of this report (</w:t>
      </w:r>
      <w:r w:rsidR="00D903F2" w:rsidRPr="00D03A86">
        <w:rPr>
          <w:b/>
          <w:szCs w:val="24"/>
        </w:rPr>
        <w:t xml:space="preserve">see Example </w:t>
      </w:r>
      <w:r w:rsidR="008E2656" w:rsidRPr="00D03A86">
        <w:rPr>
          <w:b/>
          <w:szCs w:val="24"/>
        </w:rPr>
        <w:t>3</w:t>
      </w:r>
      <w:r w:rsidR="00D903F2" w:rsidRPr="00D03A86">
        <w:rPr>
          <w:szCs w:val="24"/>
        </w:rPr>
        <w:t>).</w:t>
      </w:r>
      <w:r w:rsidR="00282A41" w:rsidRPr="00D03A86">
        <w:rPr>
          <w:szCs w:val="24"/>
        </w:rPr>
        <w:t xml:space="preserve"> The assessment method used is an assessment of needs in the context of education, and the assessment aims to identify the support needed by a child with regard to education.</w:t>
      </w:r>
      <w:r w:rsidR="0000551A" w:rsidRPr="00D03A86">
        <w:rPr>
          <w:szCs w:val="24"/>
        </w:rPr>
        <w:t xml:space="preserve"> </w:t>
      </w:r>
    </w:p>
    <w:p w14:paraId="45379928" w14:textId="77777777" w:rsidR="00A84D16" w:rsidRPr="00D03A86" w:rsidRDefault="00A84D16" w:rsidP="00940136">
      <w:pPr>
        <w:spacing w:after="0" w:line="240" w:lineRule="auto"/>
        <w:jc w:val="both"/>
        <w:rPr>
          <w:szCs w:val="24"/>
        </w:rPr>
      </w:pPr>
    </w:p>
    <w:p w14:paraId="35B2B563" w14:textId="6D8F046D" w:rsidR="00D903F2" w:rsidRPr="00D03A86" w:rsidRDefault="0000551A" w:rsidP="00940136">
      <w:pPr>
        <w:spacing w:after="0" w:line="240" w:lineRule="auto"/>
        <w:jc w:val="both"/>
        <w:rPr>
          <w:szCs w:val="24"/>
        </w:rPr>
      </w:pPr>
      <w:r w:rsidRPr="00D03A86">
        <w:rPr>
          <w:szCs w:val="24"/>
        </w:rPr>
        <w:t xml:space="preserve">It is </w:t>
      </w:r>
      <w:r w:rsidR="00690094" w:rsidRPr="00D03A86">
        <w:rPr>
          <w:szCs w:val="24"/>
        </w:rPr>
        <w:t>worth noting</w:t>
      </w:r>
      <w:r w:rsidRPr="00D03A86">
        <w:rPr>
          <w:szCs w:val="24"/>
        </w:rPr>
        <w:t xml:space="preserve"> that the assessment method </w:t>
      </w:r>
      <w:r w:rsidR="00421760" w:rsidRPr="00D03A86">
        <w:rPr>
          <w:szCs w:val="24"/>
        </w:rPr>
        <w:t xml:space="preserve">described in the first two sections </w:t>
      </w:r>
      <w:r w:rsidR="00690094" w:rsidRPr="00D03A86">
        <w:rPr>
          <w:szCs w:val="24"/>
        </w:rPr>
        <w:t>of the case study below (</w:t>
      </w:r>
      <w:r w:rsidR="00421760" w:rsidRPr="00D03A86">
        <w:rPr>
          <w:szCs w:val="24"/>
        </w:rPr>
        <w:t>“</w:t>
      </w:r>
      <w:r w:rsidR="00F532FF" w:rsidRPr="00D03A86">
        <w:rPr>
          <w:szCs w:val="24"/>
        </w:rPr>
        <w:t>D</w:t>
      </w:r>
      <w:r w:rsidR="00421760" w:rsidRPr="00D03A86">
        <w:rPr>
          <w:szCs w:val="24"/>
        </w:rPr>
        <w:t>etailed description of the assessment process” and “Sources of official guidance and assessment protocols”</w:t>
      </w:r>
      <w:r w:rsidR="00690094" w:rsidRPr="00D03A86">
        <w:rPr>
          <w:szCs w:val="24"/>
        </w:rPr>
        <w:t>)</w:t>
      </w:r>
      <w:r w:rsidRPr="00D03A86">
        <w:rPr>
          <w:szCs w:val="24"/>
        </w:rPr>
        <w:t xml:space="preserve"> </w:t>
      </w:r>
      <w:r w:rsidR="00D72439" w:rsidRPr="00D03A86">
        <w:rPr>
          <w:szCs w:val="24"/>
        </w:rPr>
        <w:t xml:space="preserve">is based on the </w:t>
      </w:r>
      <w:r w:rsidR="00264402" w:rsidRPr="00D03A86">
        <w:rPr>
          <w:szCs w:val="24"/>
        </w:rPr>
        <w:t xml:space="preserve">new </w:t>
      </w:r>
      <w:r w:rsidR="00D72439" w:rsidRPr="00D03A86">
        <w:rPr>
          <w:szCs w:val="24"/>
        </w:rPr>
        <w:t>legislation</w:t>
      </w:r>
      <w:r w:rsidR="00264402" w:rsidRPr="00D03A86">
        <w:rPr>
          <w:szCs w:val="24"/>
        </w:rPr>
        <w:t xml:space="preserve"> as the single official source of relevant information to date</w:t>
      </w:r>
      <w:r w:rsidRPr="00D03A86">
        <w:rPr>
          <w:szCs w:val="24"/>
        </w:rPr>
        <w:t>.</w:t>
      </w:r>
      <w:r w:rsidR="00264402" w:rsidRPr="00D03A86">
        <w:rPr>
          <w:szCs w:val="24"/>
        </w:rPr>
        <w:t xml:space="preserve"> F</w:t>
      </w:r>
      <w:r w:rsidR="00471B34" w:rsidRPr="00D03A86">
        <w:rPr>
          <w:szCs w:val="24"/>
        </w:rPr>
        <w:t>or the purposes of a more in depth understanding of the change</w:t>
      </w:r>
      <w:r w:rsidR="00264402" w:rsidRPr="00D03A86">
        <w:rPr>
          <w:szCs w:val="24"/>
        </w:rPr>
        <w:t xml:space="preserve"> initiated</w:t>
      </w:r>
      <w:r w:rsidR="00471B34" w:rsidRPr="00D03A86">
        <w:rPr>
          <w:szCs w:val="24"/>
        </w:rPr>
        <w:t xml:space="preserve">, </w:t>
      </w:r>
      <w:r w:rsidR="00A84D16" w:rsidRPr="00D03A86">
        <w:rPr>
          <w:szCs w:val="24"/>
        </w:rPr>
        <w:t xml:space="preserve">the sections on implementation and evaluation, include information </w:t>
      </w:r>
      <w:r w:rsidR="00053CDE" w:rsidRPr="00D03A86">
        <w:rPr>
          <w:szCs w:val="24"/>
        </w:rPr>
        <w:t>about practice</w:t>
      </w:r>
      <w:r w:rsidR="00264402" w:rsidRPr="00D03A86">
        <w:rPr>
          <w:szCs w:val="24"/>
        </w:rPr>
        <w:t xml:space="preserve"> under the previous system</w:t>
      </w:r>
      <w:r w:rsidR="00053CDE" w:rsidRPr="00D03A86">
        <w:rPr>
          <w:szCs w:val="24"/>
        </w:rPr>
        <w:t xml:space="preserve"> (i.e. diagnostic assessment).</w:t>
      </w:r>
    </w:p>
    <w:p w14:paraId="23E569C3" w14:textId="77777777" w:rsidR="00D903F2" w:rsidRPr="00D03A86" w:rsidRDefault="00D903F2" w:rsidP="00940136">
      <w:pPr>
        <w:spacing w:after="0" w:line="240" w:lineRule="auto"/>
        <w:jc w:val="both"/>
        <w:rPr>
          <w:szCs w:val="24"/>
        </w:rPr>
      </w:pPr>
    </w:p>
    <w:p w14:paraId="33172CAA" w14:textId="6EC40BEE" w:rsidR="00D903F2" w:rsidRPr="00D03A86" w:rsidRDefault="00D903F2" w:rsidP="00940136">
      <w:pPr>
        <w:pStyle w:val="Heading3"/>
        <w:spacing w:before="0" w:line="240" w:lineRule="auto"/>
        <w:jc w:val="both"/>
        <w:rPr>
          <w:szCs w:val="24"/>
        </w:rPr>
      </w:pPr>
      <w:r w:rsidRPr="00D03A86">
        <w:rPr>
          <w:szCs w:val="24"/>
        </w:rPr>
        <w:t>Detailed description of the assessment process</w:t>
      </w:r>
    </w:p>
    <w:p w14:paraId="720A99ED" w14:textId="762FD3DA" w:rsidR="00EA22D7" w:rsidRPr="00D03A86" w:rsidRDefault="00EA22D7" w:rsidP="00940136">
      <w:pPr>
        <w:spacing w:after="0" w:line="240" w:lineRule="auto"/>
      </w:pPr>
    </w:p>
    <w:p w14:paraId="4AB0960F" w14:textId="77777777" w:rsidR="00673C5E" w:rsidRPr="00D03A86" w:rsidRDefault="00673C5E" w:rsidP="00673C5E">
      <w:pPr>
        <w:spacing w:after="0" w:line="240" w:lineRule="auto"/>
        <w:jc w:val="both"/>
        <w:rPr>
          <w:i/>
          <w:color w:val="4F81BD" w:themeColor="accent1"/>
        </w:rPr>
      </w:pPr>
      <w:bookmarkStart w:id="16" w:name="_Hlk524097223"/>
      <w:r w:rsidRPr="00D03A86">
        <w:rPr>
          <w:i/>
          <w:color w:val="4F81BD" w:themeColor="accent1"/>
        </w:rPr>
        <w:t>The main stages of the process, from application to decision, and appeal against decision, detailing the types of professionals involved and their responsibilities. Please also describe the administrative arrangements and the roles of the different institutions involved in the process. Please indicate what role the person being assessed plays in the procedure.</w:t>
      </w:r>
    </w:p>
    <w:bookmarkEnd w:id="16"/>
    <w:p w14:paraId="23DF5AF1" w14:textId="77777777" w:rsidR="00673C5E" w:rsidRPr="00D03A86" w:rsidRDefault="00673C5E" w:rsidP="00940136">
      <w:pPr>
        <w:spacing w:after="0" w:line="240" w:lineRule="auto"/>
      </w:pPr>
    </w:p>
    <w:p w14:paraId="1B1952E5" w14:textId="295C1925" w:rsidR="00D903F2" w:rsidRPr="00D03A86" w:rsidRDefault="00D903F2" w:rsidP="00940136">
      <w:pPr>
        <w:spacing w:after="0" w:line="240" w:lineRule="auto"/>
        <w:jc w:val="both"/>
        <w:rPr>
          <w:szCs w:val="24"/>
        </w:rPr>
      </w:pPr>
      <w:r w:rsidRPr="00D03A86">
        <w:rPr>
          <w:szCs w:val="24"/>
        </w:rPr>
        <w:t>The main stages of the process, from application to decision, and appeal against decision, detailing the types of professionals involved and their responsibilities. Please also describe the administrative arrangements and the roles of the different institutions involved in the process. Please indicate what role the person being assessed plays in the procedure.</w:t>
      </w:r>
    </w:p>
    <w:p w14:paraId="4D3D67D9" w14:textId="023C4D87" w:rsidR="001973A1" w:rsidRPr="00D03A86" w:rsidRDefault="001973A1" w:rsidP="00940136">
      <w:pPr>
        <w:spacing w:after="0" w:line="240" w:lineRule="auto"/>
        <w:jc w:val="both"/>
        <w:rPr>
          <w:szCs w:val="24"/>
        </w:rPr>
      </w:pPr>
    </w:p>
    <w:p w14:paraId="2CBF7CC5" w14:textId="704E0936" w:rsidR="00595A9D" w:rsidRPr="00D03A86" w:rsidRDefault="004A2796" w:rsidP="00940136">
      <w:pPr>
        <w:spacing w:after="0" w:line="240" w:lineRule="auto"/>
        <w:jc w:val="both"/>
        <w:rPr>
          <w:rFonts w:eastAsia="Times New Roman"/>
          <w:color w:val="000000"/>
          <w:szCs w:val="24"/>
          <w:lang w:eastAsia="en-GB"/>
        </w:rPr>
      </w:pPr>
      <w:r w:rsidRPr="00D03A86">
        <w:rPr>
          <w:szCs w:val="24"/>
        </w:rPr>
        <w:t>According to the</w:t>
      </w:r>
      <w:r w:rsidR="00C46AD6" w:rsidRPr="00D03A86">
        <w:rPr>
          <w:szCs w:val="24"/>
        </w:rPr>
        <w:t xml:space="preserve"> </w:t>
      </w:r>
      <w:r w:rsidRPr="00D03A86">
        <w:rPr>
          <w:szCs w:val="24"/>
        </w:rPr>
        <w:t xml:space="preserve">law </w:t>
      </w:r>
      <w:r w:rsidRPr="00D03A86">
        <w:rPr>
          <w:i/>
          <w:szCs w:val="24"/>
        </w:rPr>
        <w:t>Reform of Support Structures in Primary and Secondary Education</w:t>
      </w:r>
      <w:r w:rsidR="00C46AD6" w:rsidRPr="00D03A86">
        <w:rPr>
          <w:rStyle w:val="FootnoteReference"/>
          <w:szCs w:val="24"/>
        </w:rPr>
        <w:footnoteReference w:id="34"/>
      </w:r>
      <w:r w:rsidRPr="00D03A86">
        <w:rPr>
          <w:szCs w:val="24"/>
        </w:rPr>
        <w:t xml:space="preserve"> </w:t>
      </w:r>
      <w:r w:rsidR="001B24BB" w:rsidRPr="00D03A86">
        <w:rPr>
          <w:szCs w:val="24"/>
        </w:rPr>
        <w:t>t</w:t>
      </w:r>
      <w:r w:rsidR="00595A9D" w:rsidRPr="00D03A86">
        <w:rPr>
          <w:szCs w:val="24"/>
        </w:rPr>
        <w:t xml:space="preserve">he responsibility for conducting </w:t>
      </w:r>
      <w:r w:rsidR="00E10227" w:rsidRPr="00D03A86">
        <w:rPr>
          <w:szCs w:val="24"/>
        </w:rPr>
        <w:t xml:space="preserve">the </w:t>
      </w:r>
      <w:r w:rsidR="00595A9D" w:rsidRPr="00D03A86">
        <w:rPr>
          <w:szCs w:val="24"/>
        </w:rPr>
        <w:t xml:space="preserve">educational needs assessment </w:t>
      </w:r>
      <w:r w:rsidR="00D7135A" w:rsidRPr="00D03A86">
        <w:rPr>
          <w:szCs w:val="24"/>
        </w:rPr>
        <w:t xml:space="preserve">and support provision </w:t>
      </w:r>
      <w:r w:rsidR="00595A9D" w:rsidRPr="00D03A86">
        <w:rPr>
          <w:szCs w:val="24"/>
        </w:rPr>
        <w:t>is</w:t>
      </w:r>
      <w:r w:rsidR="00147B0A" w:rsidRPr="00D03A86">
        <w:rPr>
          <w:szCs w:val="24"/>
        </w:rPr>
        <w:t xml:space="preserve"> </w:t>
      </w:r>
      <w:r w:rsidR="00595A9D" w:rsidRPr="00D03A86">
        <w:rPr>
          <w:szCs w:val="24"/>
        </w:rPr>
        <w:t xml:space="preserve">shared equally between the </w:t>
      </w:r>
      <w:r w:rsidR="00595A9D" w:rsidRPr="00D03A86">
        <w:rPr>
          <w:rFonts w:eastAsia="Times New Roman"/>
          <w:color w:val="000000"/>
          <w:szCs w:val="24"/>
          <w:lang w:eastAsia="en-GB"/>
        </w:rPr>
        <w:t>Interdisciplinary Educational Assessment and Support Committee (EDEAY)</w:t>
      </w:r>
      <w:r w:rsidR="00D7135A" w:rsidRPr="00D03A86">
        <w:rPr>
          <w:rFonts w:eastAsia="Times New Roman"/>
          <w:color w:val="000000"/>
          <w:szCs w:val="24"/>
          <w:vertAlign w:val="superscript"/>
          <w:lang w:eastAsia="en-GB"/>
        </w:rPr>
        <w:footnoteReference w:id="35"/>
      </w:r>
      <w:r w:rsidR="00595A9D" w:rsidRPr="00D03A86">
        <w:rPr>
          <w:rFonts w:eastAsia="Times New Roman"/>
          <w:color w:val="000000"/>
          <w:szCs w:val="24"/>
          <w:lang w:eastAsia="en-GB"/>
        </w:rPr>
        <w:t xml:space="preserve"> established in each school unit</w:t>
      </w:r>
      <w:r w:rsidR="00D7135A" w:rsidRPr="00D03A86">
        <w:rPr>
          <w:rFonts w:eastAsia="Times New Roman"/>
          <w:color w:val="000000"/>
          <w:szCs w:val="24"/>
          <w:lang w:eastAsia="en-GB"/>
        </w:rPr>
        <w:t xml:space="preserve"> in </w:t>
      </w:r>
      <w:r w:rsidR="00595A9D" w:rsidRPr="00D03A86">
        <w:rPr>
          <w:rFonts w:eastAsia="Times New Roman"/>
          <w:color w:val="000000"/>
          <w:szCs w:val="24"/>
          <w:lang w:eastAsia="en-GB"/>
        </w:rPr>
        <w:lastRenderedPageBreak/>
        <w:t>mainstream primary and secondary education, and Centres for Educational and Counselling Support (KESY)</w:t>
      </w:r>
      <w:r w:rsidR="00595A9D" w:rsidRPr="00D03A86">
        <w:rPr>
          <w:rStyle w:val="FootnoteReference"/>
          <w:rFonts w:eastAsia="Times New Roman"/>
          <w:color w:val="000000"/>
          <w:szCs w:val="24"/>
          <w:lang w:eastAsia="en-GB"/>
        </w:rPr>
        <w:footnoteReference w:id="36"/>
      </w:r>
      <w:r w:rsidR="00595A9D" w:rsidRPr="00D03A86">
        <w:rPr>
          <w:rFonts w:eastAsia="Times New Roman"/>
          <w:color w:val="000000"/>
          <w:szCs w:val="24"/>
          <w:lang w:eastAsia="en-GB"/>
        </w:rPr>
        <w:t xml:space="preserve"> operating at regional level (Regional Education Directorate,</w:t>
      </w:r>
      <w:r w:rsidR="00AA4870" w:rsidRPr="00D03A86">
        <w:rPr>
          <w:rFonts w:eastAsia="Times New Roman"/>
          <w:color w:val="000000"/>
          <w:szCs w:val="24"/>
          <w:lang w:eastAsia="en-GB"/>
        </w:rPr>
        <w:t xml:space="preserve"> under the auspice of</w:t>
      </w:r>
      <w:r w:rsidR="00483F33" w:rsidRPr="00D03A86">
        <w:rPr>
          <w:rFonts w:eastAsia="Times New Roman"/>
          <w:color w:val="000000"/>
          <w:szCs w:val="24"/>
          <w:lang w:eastAsia="en-GB"/>
        </w:rPr>
        <w:t xml:space="preserve"> the</w:t>
      </w:r>
      <w:r w:rsidR="00A84BB4" w:rsidRPr="00D03A86">
        <w:rPr>
          <w:rFonts w:eastAsia="Times New Roman"/>
          <w:color w:val="000000"/>
          <w:szCs w:val="24"/>
          <w:lang w:eastAsia="en-GB"/>
        </w:rPr>
        <w:t xml:space="preserve"> </w:t>
      </w:r>
      <w:r w:rsidR="00595A9D" w:rsidRPr="00D03A86">
        <w:rPr>
          <w:rFonts w:eastAsia="Times New Roman"/>
          <w:color w:val="000000"/>
          <w:szCs w:val="24"/>
          <w:lang w:eastAsia="en-GB"/>
        </w:rPr>
        <w:t>Ministry of Education, Research and Religious Affairs).</w:t>
      </w:r>
    </w:p>
    <w:p w14:paraId="7DC4ED6A" w14:textId="77777777" w:rsidR="008F4587" w:rsidRPr="00D03A86" w:rsidRDefault="008F4587" w:rsidP="00940136">
      <w:pPr>
        <w:spacing w:after="0" w:line="240" w:lineRule="auto"/>
        <w:jc w:val="both"/>
        <w:rPr>
          <w:szCs w:val="24"/>
        </w:rPr>
      </w:pPr>
    </w:p>
    <w:p w14:paraId="44439736" w14:textId="1F5B54AF" w:rsidR="00595A9D" w:rsidRPr="00D03A86" w:rsidRDefault="00595A9D" w:rsidP="00940136">
      <w:pPr>
        <w:spacing w:after="0" w:line="240" w:lineRule="auto"/>
        <w:jc w:val="both"/>
        <w:rPr>
          <w:szCs w:val="24"/>
        </w:rPr>
      </w:pPr>
      <w:r w:rsidRPr="00D03A86">
        <w:rPr>
          <w:szCs w:val="24"/>
        </w:rPr>
        <w:t xml:space="preserve">There </w:t>
      </w:r>
      <w:r w:rsidR="00816591" w:rsidRPr="00D03A86">
        <w:rPr>
          <w:szCs w:val="24"/>
        </w:rPr>
        <w:t>are</w:t>
      </w:r>
      <w:r w:rsidR="0000551A" w:rsidRPr="00D03A86">
        <w:rPr>
          <w:szCs w:val="24"/>
        </w:rPr>
        <w:t xml:space="preserve"> </w:t>
      </w:r>
      <w:r w:rsidRPr="00D03A86">
        <w:rPr>
          <w:szCs w:val="24"/>
        </w:rPr>
        <w:t>multiple routes for</w:t>
      </w:r>
      <w:r w:rsidR="00020871" w:rsidRPr="00D03A86">
        <w:rPr>
          <w:szCs w:val="24"/>
        </w:rPr>
        <w:t xml:space="preserve"> accessing the educational needs</w:t>
      </w:r>
      <w:r w:rsidRPr="00D03A86">
        <w:rPr>
          <w:szCs w:val="24"/>
        </w:rPr>
        <w:t xml:space="preserve"> assessment</w:t>
      </w:r>
      <w:r w:rsidR="00E10227" w:rsidRPr="00D03A86">
        <w:rPr>
          <w:szCs w:val="24"/>
        </w:rPr>
        <w:t xml:space="preserve"> and related support</w:t>
      </w:r>
      <w:r w:rsidRPr="00D03A86">
        <w:rPr>
          <w:szCs w:val="24"/>
        </w:rPr>
        <w:t xml:space="preserve">. </w:t>
      </w:r>
      <w:r w:rsidR="00730EDD" w:rsidRPr="00D03A86">
        <w:rPr>
          <w:szCs w:val="24"/>
        </w:rPr>
        <w:t xml:space="preserve">Assigned </w:t>
      </w:r>
      <w:r w:rsidR="00D7135A" w:rsidRPr="00D03A86">
        <w:rPr>
          <w:szCs w:val="24"/>
        </w:rPr>
        <w:t xml:space="preserve">with </w:t>
      </w:r>
      <w:r w:rsidR="00730EDD" w:rsidRPr="00D03A86">
        <w:rPr>
          <w:szCs w:val="24"/>
        </w:rPr>
        <w:t xml:space="preserve">the role of </w:t>
      </w:r>
      <w:r w:rsidRPr="00D03A86">
        <w:rPr>
          <w:szCs w:val="24"/>
        </w:rPr>
        <w:t>support</w:t>
      </w:r>
      <w:r w:rsidR="00730EDD" w:rsidRPr="00D03A86">
        <w:rPr>
          <w:szCs w:val="24"/>
        </w:rPr>
        <w:t>ing</w:t>
      </w:r>
      <w:r w:rsidRPr="00D03A86">
        <w:rPr>
          <w:szCs w:val="24"/>
        </w:rPr>
        <w:t xml:space="preserve"> t</w:t>
      </w:r>
      <w:r w:rsidR="00730EDD" w:rsidRPr="00D03A86">
        <w:rPr>
          <w:szCs w:val="24"/>
        </w:rPr>
        <w:t xml:space="preserve">he school </w:t>
      </w:r>
      <w:proofErr w:type="gramStart"/>
      <w:r w:rsidR="00730EDD" w:rsidRPr="00D03A86">
        <w:rPr>
          <w:szCs w:val="24"/>
        </w:rPr>
        <w:t>community as a whole, EDEAY</w:t>
      </w:r>
      <w:proofErr w:type="gramEnd"/>
      <w:r w:rsidR="00730EDD" w:rsidRPr="00D03A86">
        <w:rPr>
          <w:szCs w:val="24"/>
        </w:rPr>
        <w:t xml:space="preserve"> </w:t>
      </w:r>
      <w:r w:rsidR="00816591" w:rsidRPr="00D03A86">
        <w:rPr>
          <w:szCs w:val="24"/>
        </w:rPr>
        <w:t>is</w:t>
      </w:r>
      <w:r w:rsidR="00730EDD" w:rsidRPr="00D03A86">
        <w:rPr>
          <w:szCs w:val="24"/>
        </w:rPr>
        <w:t xml:space="preserve"> </w:t>
      </w:r>
      <w:r w:rsidRPr="00D03A86">
        <w:rPr>
          <w:szCs w:val="24"/>
        </w:rPr>
        <w:t xml:space="preserve">primarily responsible for identifying pupils who seem to encounter difficulties in the learning process. The </w:t>
      </w:r>
      <w:r w:rsidR="00147B0A" w:rsidRPr="00D03A86">
        <w:rPr>
          <w:szCs w:val="24"/>
        </w:rPr>
        <w:t xml:space="preserve">EDEAY </w:t>
      </w:r>
      <w:r w:rsidRPr="00D03A86">
        <w:rPr>
          <w:szCs w:val="24"/>
        </w:rPr>
        <w:t>Committee assess</w:t>
      </w:r>
      <w:r w:rsidR="00816591" w:rsidRPr="00D03A86">
        <w:rPr>
          <w:szCs w:val="24"/>
        </w:rPr>
        <w:t>es</w:t>
      </w:r>
      <w:r w:rsidRPr="00D03A86">
        <w:rPr>
          <w:szCs w:val="24"/>
        </w:rPr>
        <w:t xml:space="preserve"> “the type of difficulties and potential educational, psychosocial, and other barriers to learning” (Art.10 par.2) and may refer specific cases to the </w:t>
      </w:r>
      <w:r w:rsidRPr="00D03A86">
        <w:rPr>
          <w:rFonts w:eastAsia="Times New Roman"/>
          <w:color w:val="000000"/>
          <w:szCs w:val="24"/>
          <w:lang w:eastAsia="en-GB"/>
        </w:rPr>
        <w:t xml:space="preserve">Centre for Educational and Counselling Support (KESY), if it </w:t>
      </w:r>
      <w:r w:rsidR="00147B0A" w:rsidRPr="00D03A86">
        <w:rPr>
          <w:rFonts w:eastAsia="Times New Roman"/>
          <w:color w:val="000000"/>
          <w:szCs w:val="24"/>
          <w:lang w:eastAsia="en-GB"/>
        </w:rPr>
        <w:t>decides</w:t>
      </w:r>
      <w:r w:rsidRPr="00D03A86">
        <w:rPr>
          <w:rFonts w:eastAsia="Times New Roman"/>
          <w:color w:val="000000"/>
          <w:szCs w:val="24"/>
          <w:lang w:eastAsia="en-GB"/>
        </w:rPr>
        <w:t xml:space="preserve"> that those cases need further assessment and support, “</w:t>
      </w:r>
      <w:r w:rsidRPr="00D03A86">
        <w:rPr>
          <w:rFonts w:eastAsia="Times New Roman"/>
          <w:b/>
          <w:color w:val="000000"/>
          <w:szCs w:val="24"/>
          <w:lang w:eastAsia="en-GB"/>
        </w:rPr>
        <w:t xml:space="preserve">despite </w:t>
      </w:r>
      <w:r w:rsidRPr="00D03A86">
        <w:rPr>
          <w:rFonts w:eastAsia="Times New Roman"/>
          <w:color w:val="000000"/>
          <w:szCs w:val="24"/>
          <w:lang w:eastAsia="en-GB"/>
        </w:rPr>
        <w:t>support measures being taken by the school” (Art. 11 par.3)</w:t>
      </w:r>
      <w:r w:rsidR="005570A1" w:rsidRPr="00D03A86">
        <w:rPr>
          <w:rFonts w:eastAsia="Times New Roman"/>
          <w:color w:val="000000"/>
          <w:szCs w:val="24"/>
          <w:lang w:eastAsia="en-GB"/>
        </w:rPr>
        <w:t xml:space="preserve">. </w:t>
      </w:r>
      <w:r w:rsidR="00B70BCE" w:rsidRPr="00D03A86">
        <w:rPr>
          <w:rFonts w:eastAsia="Times New Roman"/>
          <w:color w:val="000000"/>
          <w:szCs w:val="24"/>
          <w:lang w:eastAsia="en-GB"/>
        </w:rPr>
        <w:t>S</w:t>
      </w:r>
      <w:r w:rsidR="005570A1" w:rsidRPr="00D03A86">
        <w:rPr>
          <w:rFonts w:eastAsia="Times New Roman"/>
          <w:color w:val="000000"/>
          <w:szCs w:val="24"/>
          <w:lang w:eastAsia="en-GB"/>
        </w:rPr>
        <w:t>upport measures</w:t>
      </w:r>
      <w:r w:rsidR="00B70BCE" w:rsidRPr="00D03A86">
        <w:rPr>
          <w:rFonts w:eastAsia="Times New Roman"/>
          <w:color w:val="000000"/>
          <w:szCs w:val="24"/>
          <w:lang w:eastAsia="en-GB"/>
        </w:rPr>
        <w:t xml:space="preserve"> </w:t>
      </w:r>
      <w:r w:rsidR="00DF4C2D" w:rsidRPr="00D03A86">
        <w:rPr>
          <w:rFonts w:eastAsia="Times New Roman"/>
          <w:color w:val="000000"/>
          <w:szCs w:val="24"/>
          <w:lang w:eastAsia="en-GB"/>
        </w:rPr>
        <w:t>at</w:t>
      </w:r>
      <w:r w:rsidR="00B70BCE" w:rsidRPr="00D03A86">
        <w:rPr>
          <w:rFonts w:eastAsia="Times New Roman"/>
          <w:color w:val="000000"/>
          <w:szCs w:val="24"/>
          <w:lang w:eastAsia="en-GB"/>
        </w:rPr>
        <w:t xml:space="preserve"> school level</w:t>
      </w:r>
      <w:r w:rsidR="005570A1" w:rsidRPr="00D03A86">
        <w:rPr>
          <w:rFonts w:eastAsia="Times New Roman"/>
          <w:color w:val="000000"/>
          <w:szCs w:val="24"/>
          <w:lang w:eastAsia="en-GB"/>
        </w:rPr>
        <w:t xml:space="preserve"> </w:t>
      </w:r>
      <w:r w:rsidR="008C054F" w:rsidRPr="00D03A86">
        <w:rPr>
          <w:rFonts w:eastAsia="Times New Roman"/>
          <w:color w:val="000000"/>
          <w:szCs w:val="24"/>
          <w:lang w:eastAsia="en-GB"/>
        </w:rPr>
        <w:t>can</w:t>
      </w:r>
      <w:r w:rsidR="005570A1" w:rsidRPr="00D03A86">
        <w:rPr>
          <w:rFonts w:eastAsia="Times New Roman"/>
          <w:color w:val="000000"/>
          <w:szCs w:val="24"/>
          <w:lang w:eastAsia="en-GB"/>
        </w:rPr>
        <w:t xml:space="preserve"> include differentiated teaching methods, </w:t>
      </w:r>
      <w:r w:rsidR="008C054F" w:rsidRPr="00D03A86">
        <w:rPr>
          <w:rFonts w:eastAsia="Times New Roman"/>
          <w:color w:val="000000"/>
          <w:szCs w:val="24"/>
          <w:lang w:eastAsia="en-GB"/>
        </w:rPr>
        <w:t>alternative forms of learning</w:t>
      </w:r>
      <w:r w:rsidR="0099345C" w:rsidRPr="00D03A86">
        <w:rPr>
          <w:rFonts w:eastAsia="Times New Roman"/>
          <w:color w:val="000000"/>
          <w:szCs w:val="24"/>
          <w:lang w:eastAsia="en-GB"/>
        </w:rPr>
        <w:t xml:space="preserve"> as well as linking with psychosocial support services in the community (Art. 11 pr.8)</w:t>
      </w:r>
      <w:r w:rsidR="00A84BB4" w:rsidRPr="00D03A86">
        <w:rPr>
          <w:rFonts w:eastAsia="Times New Roman"/>
          <w:color w:val="000000"/>
          <w:szCs w:val="24"/>
          <w:lang w:eastAsia="en-GB"/>
        </w:rPr>
        <w:t xml:space="preserve"> </w:t>
      </w:r>
    </w:p>
    <w:p w14:paraId="20359023" w14:textId="77777777" w:rsidR="008F4587" w:rsidRPr="00D03A86" w:rsidRDefault="008F4587" w:rsidP="00940136">
      <w:pPr>
        <w:spacing w:after="0" w:line="240" w:lineRule="auto"/>
        <w:jc w:val="both"/>
        <w:rPr>
          <w:szCs w:val="24"/>
        </w:rPr>
      </w:pPr>
    </w:p>
    <w:p w14:paraId="31E805BF" w14:textId="2AA31D71" w:rsidR="00B70BCE" w:rsidRPr="00D03A86" w:rsidRDefault="00595A9D" w:rsidP="00940136">
      <w:pPr>
        <w:spacing w:after="0" w:line="240" w:lineRule="auto"/>
        <w:jc w:val="both"/>
        <w:rPr>
          <w:szCs w:val="24"/>
        </w:rPr>
      </w:pPr>
      <w:r w:rsidRPr="00D03A86">
        <w:rPr>
          <w:szCs w:val="24"/>
        </w:rPr>
        <w:t xml:space="preserve">A parent or guardian </w:t>
      </w:r>
      <w:r w:rsidR="00816591" w:rsidRPr="00D03A86">
        <w:rPr>
          <w:szCs w:val="24"/>
        </w:rPr>
        <w:t xml:space="preserve">is also </w:t>
      </w:r>
      <w:r w:rsidR="0000551A" w:rsidRPr="00D03A86">
        <w:rPr>
          <w:szCs w:val="24"/>
        </w:rPr>
        <w:t>able to</w:t>
      </w:r>
      <w:r w:rsidRPr="00D03A86">
        <w:rPr>
          <w:szCs w:val="24"/>
        </w:rPr>
        <w:t xml:space="preserve"> directly refer a pupil to the regional </w:t>
      </w:r>
      <w:r w:rsidR="00730EDD" w:rsidRPr="00D03A86">
        <w:rPr>
          <w:rFonts w:eastAsia="Times New Roman"/>
          <w:color w:val="000000"/>
          <w:szCs w:val="24"/>
          <w:lang w:eastAsia="en-GB"/>
        </w:rPr>
        <w:t xml:space="preserve">Centre for Educational and Counselling Support </w:t>
      </w:r>
      <w:r w:rsidR="00730EDD" w:rsidRPr="00D03A86">
        <w:rPr>
          <w:szCs w:val="24"/>
        </w:rPr>
        <w:t xml:space="preserve">(KESY). </w:t>
      </w:r>
      <w:r w:rsidR="00D7135A" w:rsidRPr="00D03A86">
        <w:rPr>
          <w:szCs w:val="24"/>
        </w:rPr>
        <w:t xml:space="preserve">Additionally, </w:t>
      </w:r>
      <w:r w:rsidRPr="00D03A86">
        <w:rPr>
          <w:szCs w:val="24"/>
        </w:rPr>
        <w:t>KESY may identify pupils with spe</w:t>
      </w:r>
      <w:r w:rsidR="009C602E" w:rsidRPr="00D03A86">
        <w:rPr>
          <w:szCs w:val="24"/>
        </w:rPr>
        <w:t xml:space="preserve">cial educational needs that can </w:t>
      </w:r>
      <w:r w:rsidRPr="00D03A86">
        <w:rPr>
          <w:szCs w:val="24"/>
        </w:rPr>
        <w:t>benefit from support during regular needs assessment activities (Art. 7 par.2a)</w:t>
      </w:r>
      <w:r w:rsidR="00730EDD" w:rsidRPr="00D03A86">
        <w:rPr>
          <w:szCs w:val="24"/>
        </w:rPr>
        <w:t xml:space="preserve">. These cases </w:t>
      </w:r>
      <w:r w:rsidR="0000551A" w:rsidRPr="00D03A86">
        <w:rPr>
          <w:szCs w:val="24"/>
        </w:rPr>
        <w:t xml:space="preserve">will </w:t>
      </w:r>
      <w:r w:rsidR="00730EDD" w:rsidRPr="00D03A86">
        <w:rPr>
          <w:szCs w:val="24"/>
        </w:rPr>
        <w:t xml:space="preserve">first </w:t>
      </w:r>
      <w:r w:rsidR="0000551A" w:rsidRPr="00D03A86">
        <w:rPr>
          <w:szCs w:val="24"/>
        </w:rPr>
        <w:t xml:space="preserve">be </w:t>
      </w:r>
      <w:r w:rsidR="00730EDD" w:rsidRPr="00D03A86">
        <w:rPr>
          <w:szCs w:val="24"/>
        </w:rPr>
        <w:t xml:space="preserve">referred to the school unit’s support committee, which is responsible for implementing a first assessment and </w:t>
      </w:r>
      <w:r w:rsidRPr="00D03A86">
        <w:rPr>
          <w:szCs w:val="24"/>
        </w:rPr>
        <w:t>a short-term intervention</w:t>
      </w:r>
      <w:r w:rsidR="00730EDD" w:rsidRPr="00D03A86">
        <w:rPr>
          <w:szCs w:val="24"/>
        </w:rPr>
        <w:t xml:space="preserve">; if these are deemed to be inadequate, the case </w:t>
      </w:r>
      <w:r w:rsidR="0000551A" w:rsidRPr="00D03A86">
        <w:rPr>
          <w:szCs w:val="24"/>
        </w:rPr>
        <w:t>will be</w:t>
      </w:r>
      <w:r w:rsidR="00730EDD" w:rsidRPr="00D03A86">
        <w:rPr>
          <w:szCs w:val="24"/>
        </w:rPr>
        <w:t xml:space="preserve"> referred </w:t>
      </w:r>
      <w:r w:rsidR="00D7135A" w:rsidRPr="00D03A86">
        <w:rPr>
          <w:szCs w:val="24"/>
        </w:rPr>
        <w:t xml:space="preserve">back </w:t>
      </w:r>
      <w:r w:rsidR="00730EDD" w:rsidRPr="00D03A86">
        <w:rPr>
          <w:szCs w:val="24"/>
        </w:rPr>
        <w:t>to KESY</w:t>
      </w:r>
      <w:r w:rsidRPr="00D03A86">
        <w:rPr>
          <w:szCs w:val="24"/>
        </w:rPr>
        <w:t xml:space="preserve"> (Art.7 par. 3a). </w:t>
      </w:r>
    </w:p>
    <w:p w14:paraId="06D60BC1" w14:textId="77777777" w:rsidR="008F4587" w:rsidRPr="00D03A86" w:rsidRDefault="008F4587" w:rsidP="00940136">
      <w:pPr>
        <w:spacing w:after="0" w:line="240" w:lineRule="auto"/>
        <w:jc w:val="both"/>
        <w:rPr>
          <w:szCs w:val="24"/>
        </w:rPr>
      </w:pPr>
    </w:p>
    <w:p w14:paraId="6BF9F893" w14:textId="4EAD4BE5" w:rsidR="00C30FA5" w:rsidRPr="00D03A86" w:rsidRDefault="00595A9D" w:rsidP="00940136">
      <w:pPr>
        <w:spacing w:after="0" w:line="240" w:lineRule="auto"/>
        <w:jc w:val="both"/>
        <w:rPr>
          <w:szCs w:val="24"/>
        </w:rPr>
      </w:pPr>
      <w:r w:rsidRPr="00D03A86">
        <w:rPr>
          <w:szCs w:val="24"/>
        </w:rPr>
        <w:t>In all cases, for</w:t>
      </w:r>
      <w:r w:rsidR="006E18F2" w:rsidRPr="00D03A86">
        <w:rPr>
          <w:szCs w:val="24"/>
        </w:rPr>
        <w:t xml:space="preserve"> a secondary level assessment to take place,</w:t>
      </w:r>
      <w:r w:rsidRPr="00D03A86">
        <w:rPr>
          <w:szCs w:val="24"/>
        </w:rPr>
        <w:t xml:space="preserve"> it </w:t>
      </w:r>
      <w:r w:rsidR="00816591" w:rsidRPr="00D03A86">
        <w:rPr>
          <w:szCs w:val="24"/>
        </w:rPr>
        <w:t>is</w:t>
      </w:r>
      <w:r w:rsidR="0000551A" w:rsidRPr="00D03A86">
        <w:rPr>
          <w:szCs w:val="24"/>
        </w:rPr>
        <w:t xml:space="preserve"> </w:t>
      </w:r>
      <w:r w:rsidRPr="00D03A86">
        <w:rPr>
          <w:szCs w:val="24"/>
        </w:rPr>
        <w:t xml:space="preserve">required that the parent or guardian submits a written application, and that a recommendation for further assessment is issued by </w:t>
      </w:r>
      <w:r w:rsidR="00D7135A" w:rsidRPr="00D03A86">
        <w:rPr>
          <w:szCs w:val="24"/>
        </w:rPr>
        <w:t>the Teaching Staff Body of the s</w:t>
      </w:r>
      <w:r w:rsidRPr="00D03A86">
        <w:rPr>
          <w:szCs w:val="24"/>
        </w:rPr>
        <w:t xml:space="preserve">chool </w:t>
      </w:r>
      <w:r w:rsidR="00D7135A" w:rsidRPr="00D03A86">
        <w:rPr>
          <w:szCs w:val="24"/>
        </w:rPr>
        <w:t xml:space="preserve">unit </w:t>
      </w:r>
      <w:r w:rsidRPr="00D03A86">
        <w:rPr>
          <w:szCs w:val="24"/>
        </w:rPr>
        <w:t>with supporting evidence that “all necessary supportive interventions” have bee</w:t>
      </w:r>
      <w:r w:rsidR="00D7135A" w:rsidRPr="00D03A86">
        <w:rPr>
          <w:szCs w:val="24"/>
        </w:rPr>
        <w:t>n carried out by the school unit</w:t>
      </w:r>
      <w:r w:rsidRPr="00D03A86">
        <w:rPr>
          <w:szCs w:val="24"/>
        </w:rPr>
        <w:t xml:space="preserve">, </w:t>
      </w:r>
      <w:r w:rsidR="006E18F2" w:rsidRPr="00D03A86">
        <w:rPr>
          <w:szCs w:val="24"/>
        </w:rPr>
        <w:t xml:space="preserve">including </w:t>
      </w:r>
      <w:r w:rsidRPr="00D03A86">
        <w:rPr>
          <w:szCs w:val="24"/>
        </w:rPr>
        <w:t>the results of the interventions as well as the short-term intervention prog</w:t>
      </w:r>
      <w:r w:rsidR="008249BF" w:rsidRPr="00D03A86">
        <w:rPr>
          <w:szCs w:val="24"/>
        </w:rPr>
        <w:t>ram implemented by EDEAY (Art.10</w:t>
      </w:r>
      <w:r w:rsidRPr="00D03A86">
        <w:rPr>
          <w:szCs w:val="24"/>
        </w:rPr>
        <w:t xml:space="preserve"> par.3)</w:t>
      </w:r>
      <w:r w:rsidR="00854397" w:rsidRPr="00D03A86">
        <w:rPr>
          <w:szCs w:val="24"/>
        </w:rPr>
        <w:t>.</w:t>
      </w:r>
      <w:r w:rsidRPr="00D03A86">
        <w:rPr>
          <w:szCs w:val="24"/>
        </w:rPr>
        <w:t xml:space="preserve"> </w:t>
      </w:r>
    </w:p>
    <w:p w14:paraId="558FFFE8" w14:textId="77777777" w:rsidR="008F4587" w:rsidRPr="00D03A86" w:rsidRDefault="008F4587" w:rsidP="00940136">
      <w:pPr>
        <w:spacing w:after="0" w:line="240" w:lineRule="auto"/>
        <w:jc w:val="both"/>
        <w:rPr>
          <w:szCs w:val="24"/>
        </w:rPr>
      </w:pPr>
    </w:p>
    <w:p w14:paraId="11D5EC11" w14:textId="694573D8" w:rsidR="00C30FA5" w:rsidRPr="00D03A86" w:rsidRDefault="00C30FA5" w:rsidP="00940136">
      <w:pPr>
        <w:spacing w:after="0" w:line="240" w:lineRule="auto"/>
        <w:jc w:val="both"/>
        <w:rPr>
          <w:szCs w:val="24"/>
        </w:rPr>
      </w:pPr>
      <w:r w:rsidRPr="00D03A86">
        <w:rPr>
          <w:szCs w:val="24"/>
        </w:rPr>
        <w:t xml:space="preserve">Each EDEAY </w:t>
      </w:r>
      <w:r w:rsidR="00566050" w:rsidRPr="00D03A86">
        <w:rPr>
          <w:szCs w:val="24"/>
        </w:rPr>
        <w:t xml:space="preserve">must </w:t>
      </w:r>
      <w:r w:rsidRPr="00D03A86">
        <w:rPr>
          <w:szCs w:val="24"/>
        </w:rPr>
        <w:t>consist of the following structure (Art.10 par.3):</w:t>
      </w:r>
    </w:p>
    <w:p w14:paraId="73FA8C72" w14:textId="77777777" w:rsidR="0055117D" w:rsidRPr="00D03A86" w:rsidRDefault="0055117D" w:rsidP="00940136">
      <w:pPr>
        <w:spacing w:after="0" w:line="240" w:lineRule="auto"/>
        <w:jc w:val="both"/>
        <w:rPr>
          <w:szCs w:val="24"/>
        </w:rPr>
      </w:pPr>
    </w:p>
    <w:p w14:paraId="5E76EB7D" w14:textId="5D517157" w:rsidR="001973A1" w:rsidRPr="00D03A86" w:rsidRDefault="00C30FA5" w:rsidP="00940136">
      <w:pPr>
        <w:pStyle w:val="ListParagraph"/>
        <w:numPr>
          <w:ilvl w:val="0"/>
          <w:numId w:val="34"/>
        </w:numPr>
        <w:spacing w:after="0" w:line="240" w:lineRule="auto"/>
        <w:ind w:left="567" w:hanging="567"/>
        <w:jc w:val="both"/>
        <w:rPr>
          <w:szCs w:val="24"/>
        </w:rPr>
      </w:pPr>
      <w:r w:rsidRPr="00D03A86">
        <w:rPr>
          <w:szCs w:val="24"/>
        </w:rPr>
        <w:t>The Headmaster of the school unit (coordinating role)</w:t>
      </w:r>
    </w:p>
    <w:p w14:paraId="18760BA5" w14:textId="2F7F2C64" w:rsidR="00C30FA5" w:rsidRPr="00D03A86" w:rsidRDefault="00C30FA5" w:rsidP="00940136">
      <w:pPr>
        <w:pStyle w:val="ListParagraph"/>
        <w:numPr>
          <w:ilvl w:val="0"/>
          <w:numId w:val="34"/>
        </w:numPr>
        <w:spacing w:after="0" w:line="240" w:lineRule="auto"/>
        <w:ind w:left="567" w:hanging="567"/>
        <w:jc w:val="both"/>
        <w:rPr>
          <w:szCs w:val="24"/>
        </w:rPr>
      </w:pPr>
      <w:r w:rsidRPr="00D03A86">
        <w:rPr>
          <w:szCs w:val="24"/>
        </w:rPr>
        <w:t>One educational staff member specialized in Special Education</w:t>
      </w:r>
    </w:p>
    <w:p w14:paraId="3CD6CA4D" w14:textId="7F129404" w:rsidR="00C30FA5" w:rsidRPr="00D03A86" w:rsidRDefault="00C30FA5" w:rsidP="00940136">
      <w:pPr>
        <w:pStyle w:val="ListParagraph"/>
        <w:numPr>
          <w:ilvl w:val="0"/>
          <w:numId w:val="34"/>
        </w:numPr>
        <w:spacing w:after="0" w:line="240" w:lineRule="auto"/>
        <w:ind w:left="567" w:hanging="567"/>
        <w:jc w:val="both"/>
        <w:rPr>
          <w:szCs w:val="24"/>
        </w:rPr>
      </w:pPr>
      <w:r w:rsidRPr="00D03A86">
        <w:rPr>
          <w:szCs w:val="24"/>
        </w:rPr>
        <w:t>One Psychologist</w:t>
      </w:r>
    </w:p>
    <w:p w14:paraId="06C5574A" w14:textId="404E20E5" w:rsidR="00C30FA5" w:rsidRPr="00D03A86" w:rsidRDefault="00C30FA5" w:rsidP="00940136">
      <w:pPr>
        <w:pStyle w:val="ListParagraph"/>
        <w:numPr>
          <w:ilvl w:val="0"/>
          <w:numId w:val="34"/>
        </w:numPr>
        <w:spacing w:after="0" w:line="240" w:lineRule="auto"/>
        <w:ind w:left="567" w:hanging="567"/>
        <w:jc w:val="both"/>
        <w:rPr>
          <w:szCs w:val="24"/>
        </w:rPr>
      </w:pPr>
      <w:r w:rsidRPr="00D03A86">
        <w:rPr>
          <w:szCs w:val="24"/>
        </w:rPr>
        <w:t>One Social Worker</w:t>
      </w:r>
    </w:p>
    <w:p w14:paraId="1050B6A7" w14:textId="563CDEE1" w:rsidR="00C30FA5" w:rsidRPr="00D03A86" w:rsidRDefault="00C30FA5" w:rsidP="00940136">
      <w:pPr>
        <w:pStyle w:val="ListParagraph"/>
        <w:numPr>
          <w:ilvl w:val="0"/>
          <w:numId w:val="34"/>
        </w:numPr>
        <w:spacing w:after="0" w:line="240" w:lineRule="auto"/>
        <w:ind w:left="567" w:hanging="567"/>
        <w:jc w:val="both"/>
        <w:rPr>
          <w:szCs w:val="24"/>
        </w:rPr>
      </w:pPr>
      <w:r w:rsidRPr="00D03A86">
        <w:rPr>
          <w:szCs w:val="24"/>
        </w:rPr>
        <w:t>The teaching staff members of the specific pupil being assessed</w:t>
      </w:r>
    </w:p>
    <w:p w14:paraId="783F31A8" w14:textId="6290FAFC" w:rsidR="00B07D18" w:rsidRPr="00D03A86" w:rsidRDefault="00B07D18" w:rsidP="00940136">
      <w:pPr>
        <w:spacing w:after="0" w:line="240" w:lineRule="auto"/>
        <w:jc w:val="both"/>
        <w:rPr>
          <w:szCs w:val="24"/>
        </w:rPr>
      </w:pPr>
    </w:p>
    <w:p w14:paraId="6EF9729B" w14:textId="43CB23F6" w:rsidR="00B07D18" w:rsidRPr="00D03A86" w:rsidRDefault="00B07D18" w:rsidP="00940136">
      <w:pPr>
        <w:spacing w:after="0" w:line="240" w:lineRule="auto"/>
        <w:jc w:val="both"/>
        <w:rPr>
          <w:szCs w:val="24"/>
        </w:rPr>
      </w:pPr>
      <w:r w:rsidRPr="00D03A86">
        <w:rPr>
          <w:szCs w:val="24"/>
        </w:rPr>
        <w:t xml:space="preserve">The parents of the pupil assessed </w:t>
      </w:r>
      <w:r w:rsidR="0000551A" w:rsidRPr="00D03A86">
        <w:rPr>
          <w:szCs w:val="24"/>
        </w:rPr>
        <w:t xml:space="preserve">can </w:t>
      </w:r>
      <w:r w:rsidRPr="00D03A86">
        <w:rPr>
          <w:szCs w:val="24"/>
        </w:rPr>
        <w:t>participate in the meetings, while the committee can request further assistance from other educational staff belonging to the</w:t>
      </w:r>
      <w:r w:rsidR="00860F40" w:rsidRPr="00D03A86">
        <w:rPr>
          <w:szCs w:val="24"/>
        </w:rPr>
        <w:t xml:space="preserve"> </w:t>
      </w:r>
      <w:r w:rsidRPr="00D03A86">
        <w:rPr>
          <w:szCs w:val="24"/>
        </w:rPr>
        <w:t xml:space="preserve">school’s </w:t>
      </w:r>
      <w:r w:rsidR="00860F40" w:rsidRPr="00D03A86">
        <w:rPr>
          <w:szCs w:val="24"/>
        </w:rPr>
        <w:t xml:space="preserve">wider </w:t>
      </w:r>
      <w:r w:rsidRPr="00D03A86">
        <w:rPr>
          <w:szCs w:val="24"/>
        </w:rPr>
        <w:t>educational support network.</w:t>
      </w:r>
    </w:p>
    <w:p w14:paraId="12E965BD" w14:textId="618FD079" w:rsidR="00AB038B" w:rsidRPr="00D03A86" w:rsidRDefault="00AB038B" w:rsidP="00940136">
      <w:pPr>
        <w:spacing w:after="0" w:line="240" w:lineRule="auto"/>
        <w:jc w:val="both"/>
        <w:rPr>
          <w:szCs w:val="24"/>
        </w:rPr>
      </w:pPr>
    </w:p>
    <w:p w14:paraId="653D9695" w14:textId="6E9CE4D4" w:rsidR="00AB038B" w:rsidRPr="00D03A86" w:rsidRDefault="00524957" w:rsidP="00940136">
      <w:pPr>
        <w:spacing w:after="0" w:line="240" w:lineRule="auto"/>
        <w:jc w:val="both"/>
        <w:rPr>
          <w:szCs w:val="24"/>
        </w:rPr>
      </w:pPr>
      <w:r w:rsidRPr="00D03A86">
        <w:rPr>
          <w:szCs w:val="24"/>
        </w:rPr>
        <w:lastRenderedPageBreak/>
        <w:t xml:space="preserve">KESY </w:t>
      </w:r>
      <w:r w:rsidR="00566050" w:rsidRPr="00D03A86">
        <w:rPr>
          <w:szCs w:val="24"/>
        </w:rPr>
        <w:t xml:space="preserve">are </w:t>
      </w:r>
      <w:r w:rsidRPr="00D03A86">
        <w:rPr>
          <w:szCs w:val="24"/>
        </w:rPr>
        <w:t>staffed with educational staff specialized in special education</w:t>
      </w:r>
      <w:r w:rsidR="00F8075D" w:rsidRPr="00D03A86">
        <w:rPr>
          <w:szCs w:val="24"/>
        </w:rPr>
        <w:t>,</w:t>
      </w:r>
      <w:r w:rsidR="00EF7A9F" w:rsidRPr="00D03A86">
        <w:rPr>
          <w:rStyle w:val="FootnoteReference"/>
          <w:szCs w:val="24"/>
        </w:rPr>
        <w:footnoteReference w:id="37"/>
      </w:r>
      <w:r w:rsidRPr="00D03A86">
        <w:rPr>
          <w:szCs w:val="24"/>
        </w:rPr>
        <w:t xml:space="preserve"> including pre-school, primary and secondary </w:t>
      </w:r>
      <w:r w:rsidR="00E95D7D" w:rsidRPr="00D03A86">
        <w:rPr>
          <w:szCs w:val="24"/>
        </w:rPr>
        <w:t>levels</w:t>
      </w:r>
      <w:r w:rsidRPr="00D03A86">
        <w:rPr>
          <w:szCs w:val="24"/>
        </w:rPr>
        <w:t xml:space="preserve">, psychologists, social workers, speech-therapists, occupational therapists, therapists in mobility and daily living skills of people with visual </w:t>
      </w:r>
      <w:r w:rsidR="0015085A" w:rsidRPr="00D03A86">
        <w:rPr>
          <w:szCs w:val="24"/>
        </w:rPr>
        <w:t xml:space="preserve">impairments, </w:t>
      </w:r>
      <w:r w:rsidRPr="00D03A86">
        <w:rPr>
          <w:szCs w:val="24"/>
        </w:rPr>
        <w:t>staff specialized in the Greek Sign Language, as well as educational staff specialized in career counselling (Art.9).</w:t>
      </w:r>
    </w:p>
    <w:p w14:paraId="4087A210" w14:textId="1211C269" w:rsidR="00B131FF" w:rsidRPr="00D03A86" w:rsidRDefault="00B131FF" w:rsidP="00940136">
      <w:pPr>
        <w:spacing w:after="0" w:line="240" w:lineRule="auto"/>
        <w:jc w:val="both"/>
        <w:rPr>
          <w:szCs w:val="24"/>
        </w:rPr>
      </w:pPr>
    </w:p>
    <w:p w14:paraId="4BFB334C" w14:textId="2CB083A6" w:rsidR="008C3283" w:rsidRPr="00D03A86" w:rsidRDefault="008C3283" w:rsidP="00940136">
      <w:pPr>
        <w:spacing w:after="0" w:line="240" w:lineRule="auto"/>
        <w:jc w:val="both"/>
        <w:rPr>
          <w:rFonts w:eastAsia="Times New Roman"/>
          <w:color w:val="000000"/>
          <w:szCs w:val="24"/>
          <w:lang w:eastAsia="en-GB"/>
        </w:rPr>
      </w:pPr>
      <w:r w:rsidRPr="00D03A86">
        <w:rPr>
          <w:szCs w:val="24"/>
        </w:rPr>
        <w:t xml:space="preserve">The outcome of the assessment </w:t>
      </w:r>
      <w:r w:rsidR="00282A41" w:rsidRPr="00D03A86">
        <w:rPr>
          <w:szCs w:val="24"/>
        </w:rPr>
        <w:t>carried out</w:t>
      </w:r>
      <w:r w:rsidR="008A1A67" w:rsidRPr="00D03A86">
        <w:rPr>
          <w:szCs w:val="24"/>
        </w:rPr>
        <w:t xml:space="preserve"> by KESY</w:t>
      </w:r>
      <w:r w:rsidRPr="00D03A86">
        <w:rPr>
          <w:szCs w:val="24"/>
        </w:rPr>
        <w:t xml:space="preserve"> </w:t>
      </w:r>
      <w:r w:rsidR="0000551A" w:rsidRPr="00D03A86">
        <w:rPr>
          <w:szCs w:val="24"/>
        </w:rPr>
        <w:t>will be</w:t>
      </w:r>
      <w:r w:rsidRPr="00D03A86">
        <w:rPr>
          <w:szCs w:val="24"/>
        </w:rPr>
        <w:t xml:space="preserve"> </w:t>
      </w:r>
      <w:r w:rsidR="00C31FC8" w:rsidRPr="00D03A86">
        <w:rPr>
          <w:szCs w:val="24"/>
        </w:rPr>
        <w:t xml:space="preserve">mainly </w:t>
      </w:r>
      <w:r w:rsidRPr="00D03A86">
        <w:rPr>
          <w:szCs w:val="24"/>
        </w:rPr>
        <w:t xml:space="preserve">in the form of </w:t>
      </w:r>
      <w:r w:rsidRPr="00D03A86">
        <w:rPr>
          <w:rFonts w:eastAsia="Times New Roman"/>
          <w:color w:val="000000"/>
          <w:szCs w:val="24"/>
          <w:lang w:eastAsia="en-GB"/>
        </w:rPr>
        <w:t xml:space="preserve">an Individualised Educational Plan, which may also include recommendations about the appropriate school environment (i.e. </w:t>
      </w:r>
      <w:r w:rsidR="0015085A" w:rsidRPr="00D03A86">
        <w:rPr>
          <w:rFonts w:eastAsia="Times New Roman"/>
          <w:color w:val="000000"/>
          <w:szCs w:val="24"/>
          <w:lang w:eastAsia="en-GB"/>
        </w:rPr>
        <w:t>parallel</w:t>
      </w:r>
      <w:r w:rsidRPr="00D03A86">
        <w:rPr>
          <w:rFonts w:eastAsia="Times New Roman"/>
          <w:color w:val="000000"/>
          <w:szCs w:val="24"/>
          <w:lang w:eastAsia="en-GB"/>
        </w:rPr>
        <w:t xml:space="preserve"> support, </w:t>
      </w:r>
      <w:r w:rsidR="00181CFB" w:rsidRPr="00D03A86">
        <w:rPr>
          <w:rFonts w:eastAsia="Times New Roman"/>
          <w:color w:val="000000"/>
          <w:szCs w:val="24"/>
          <w:lang w:eastAsia="en-GB"/>
        </w:rPr>
        <w:t>integration class, or</w:t>
      </w:r>
      <w:r w:rsidRPr="00D03A86">
        <w:rPr>
          <w:rFonts w:eastAsia="Times New Roman"/>
          <w:color w:val="000000"/>
          <w:szCs w:val="24"/>
          <w:lang w:eastAsia="en-GB"/>
        </w:rPr>
        <w:t xml:space="preserve"> special education)</w:t>
      </w:r>
      <w:r w:rsidR="00181CFB" w:rsidRPr="00D03A86">
        <w:rPr>
          <w:rFonts w:eastAsia="Times New Roman"/>
          <w:color w:val="000000"/>
          <w:szCs w:val="24"/>
          <w:lang w:eastAsia="en-GB"/>
        </w:rPr>
        <w:t>, provision of</w:t>
      </w:r>
      <w:r w:rsidRPr="00D03A86">
        <w:rPr>
          <w:rFonts w:eastAsia="Times New Roman"/>
          <w:color w:val="000000"/>
          <w:szCs w:val="24"/>
          <w:lang w:eastAsia="en-GB"/>
        </w:rPr>
        <w:t xml:space="preserve"> technical aids and ICT,</w:t>
      </w:r>
      <w:r w:rsidR="00181CFB" w:rsidRPr="00D03A86">
        <w:rPr>
          <w:rFonts w:eastAsia="Times New Roman"/>
          <w:color w:val="000000"/>
          <w:szCs w:val="24"/>
          <w:lang w:eastAsia="en-GB"/>
        </w:rPr>
        <w:t xml:space="preserve"> </w:t>
      </w:r>
      <w:r w:rsidR="00AF0CC7" w:rsidRPr="00D03A86">
        <w:rPr>
          <w:rFonts w:eastAsia="Times New Roman"/>
          <w:color w:val="000000"/>
          <w:szCs w:val="24"/>
          <w:lang w:eastAsia="en-GB"/>
        </w:rPr>
        <w:t xml:space="preserve">use of </w:t>
      </w:r>
      <w:r w:rsidR="00181CFB" w:rsidRPr="00D03A86">
        <w:rPr>
          <w:rFonts w:eastAsia="Times New Roman"/>
          <w:color w:val="000000"/>
          <w:szCs w:val="24"/>
          <w:lang w:eastAsia="en-GB"/>
        </w:rPr>
        <w:t xml:space="preserve">differentiated instruction methods, as well as </w:t>
      </w:r>
      <w:r w:rsidRPr="00D03A86">
        <w:rPr>
          <w:rFonts w:eastAsia="Times New Roman"/>
          <w:color w:val="000000"/>
          <w:szCs w:val="24"/>
          <w:lang w:eastAsia="en-GB"/>
        </w:rPr>
        <w:t>substitut</w:t>
      </w:r>
      <w:r w:rsidR="0015085A" w:rsidRPr="00D03A86">
        <w:rPr>
          <w:rFonts w:eastAsia="Times New Roman"/>
          <w:color w:val="000000"/>
          <w:szCs w:val="24"/>
          <w:lang w:eastAsia="en-GB"/>
        </w:rPr>
        <w:t xml:space="preserve">ion of written </w:t>
      </w:r>
      <w:r w:rsidR="00F95F9E" w:rsidRPr="00D03A86">
        <w:rPr>
          <w:rFonts w:eastAsia="Times New Roman"/>
          <w:color w:val="000000"/>
          <w:szCs w:val="24"/>
          <w:lang w:eastAsia="en-GB"/>
        </w:rPr>
        <w:t>with oral</w:t>
      </w:r>
      <w:r w:rsidR="0015085A" w:rsidRPr="00D03A86">
        <w:rPr>
          <w:rFonts w:eastAsia="Times New Roman"/>
          <w:color w:val="000000"/>
          <w:szCs w:val="24"/>
          <w:lang w:eastAsia="en-GB"/>
        </w:rPr>
        <w:t xml:space="preserve"> exams</w:t>
      </w:r>
      <w:r w:rsidR="00F95F9E" w:rsidRPr="00D03A86">
        <w:rPr>
          <w:rFonts w:eastAsia="Times New Roman"/>
          <w:color w:val="000000"/>
          <w:szCs w:val="24"/>
          <w:lang w:eastAsia="en-GB"/>
        </w:rPr>
        <w:t xml:space="preserve"> </w:t>
      </w:r>
      <w:r w:rsidRPr="00D03A86">
        <w:rPr>
          <w:rFonts w:eastAsia="Times New Roman"/>
          <w:color w:val="000000"/>
          <w:szCs w:val="24"/>
          <w:lang w:eastAsia="en-GB"/>
        </w:rPr>
        <w:t xml:space="preserve">at all levels of </w:t>
      </w:r>
      <w:r w:rsidR="00F95F9E" w:rsidRPr="00D03A86">
        <w:rPr>
          <w:rFonts w:eastAsia="Times New Roman"/>
          <w:color w:val="000000"/>
          <w:szCs w:val="24"/>
          <w:lang w:eastAsia="en-GB"/>
        </w:rPr>
        <w:t>primary and secondary education.</w:t>
      </w:r>
    </w:p>
    <w:p w14:paraId="206E0C47" w14:textId="77777777" w:rsidR="00DA45E4" w:rsidRPr="00D03A86" w:rsidRDefault="00DA45E4" w:rsidP="00940136">
      <w:pPr>
        <w:spacing w:after="0" w:line="240" w:lineRule="auto"/>
        <w:jc w:val="both"/>
        <w:rPr>
          <w:rFonts w:eastAsia="Times New Roman"/>
          <w:color w:val="000000"/>
          <w:szCs w:val="24"/>
          <w:lang w:eastAsia="en-GB"/>
        </w:rPr>
      </w:pPr>
    </w:p>
    <w:p w14:paraId="7FF2271D" w14:textId="743C046C" w:rsidR="00BD2184" w:rsidRPr="00D03A86" w:rsidRDefault="008A1A67" w:rsidP="00940136">
      <w:pPr>
        <w:spacing w:after="0" w:line="240" w:lineRule="auto"/>
        <w:jc w:val="both"/>
        <w:rPr>
          <w:szCs w:val="24"/>
        </w:rPr>
      </w:pPr>
      <w:r w:rsidRPr="00D03A86">
        <w:rPr>
          <w:szCs w:val="24"/>
        </w:rPr>
        <w:t>Since</w:t>
      </w:r>
      <w:r w:rsidR="00BD2184" w:rsidRPr="00D03A86">
        <w:rPr>
          <w:szCs w:val="24"/>
        </w:rPr>
        <w:t xml:space="preserve"> the purpose of the assessment is to provide advice and </w:t>
      </w:r>
      <w:r w:rsidR="00C31FC8" w:rsidRPr="00D03A86">
        <w:rPr>
          <w:szCs w:val="24"/>
        </w:rPr>
        <w:t xml:space="preserve">facilitate suitable supportive interventions </w:t>
      </w:r>
      <w:r w:rsidR="00BD2184" w:rsidRPr="00D03A86">
        <w:rPr>
          <w:szCs w:val="24"/>
        </w:rPr>
        <w:t xml:space="preserve">according to </w:t>
      </w:r>
      <w:r w:rsidRPr="00D03A86">
        <w:rPr>
          <w:szCs w:val="24"/>
        </w:rPr>
        <w:t xml:space="preserve">the educational </w:t>
      </w:r>
      <w:r w:rsidR="00BD2184" w:rsidRPr="00D03A86">
        <w:rPr>
          <w:szCs w:val="24"/>
        </w:rPr>
        <w:t>needs</w:t>
      </w:r>
      <w:r w:rsidRPr="00D03A86">
        <w:rPr>
          <w:szCs w:val="24"/>
        </w:rPr>
        <w:t xml:space="preserve"> of disabled pupils</w:t>
      </w:r>
      <w:r w:rsidR="00BD2184" w:rsidRPr="00D03A86">
        <w:rPr>
          <w:szCs w:val="24"/>
        </w:rPr>
        <w:t xml:space="preserve"> there are not any "qualifying levels of disability" as such. </w:t>
      </w:r>
      <w:r w:rsidR="00B81B47" w:rsidRPr="00D03A86">
        <w:rPr>
          <w:szCs w:val="24"/>
        </w:rPr>
        <w:t>In this respect, no appeal process is foreseen.</w:t>
      </w:r>
      <w:r w:rsidR="00A84BB4" w:rsidRPr="00D03A86">
        <w:rPr>
          <w:szCs w:val="24"/>
        </w:rPr>
        <w:t xml:space="preserve"> </w:t>
      </w:r>
    </w:p>
    <w:p w14:paraId="1604A63E" w14:textId="2968AC6B" w:rsidR="001973A1" w:rsidRPr="00D03A86" w:rsidRDefault="001973A1" w:rsidP="00940136">
      <w:pPr>
        <w:spacing w:after="0" w:line="240" w:lineRule="auto"/>
        <w:jc w:val="both"/>
        <w:rPr>
          <w:szCs w:val="24"/>
        </w:rPr>
      </w:pPr>
    </w:p>
    <w:p w14:paraId="358DEC91" w14:textId="3BE9CECF" w:rsidR="00D903F2" w:rsidRPr="00D03A86" w:rsidRDefault="00D903F2" w:rsidP="00940136">
      <w:pPr>
        <w:pStyle w:val="Heading3"/>
        <w:spacing w:before="0" w:line="240" w:lineRule="auto"/>
        <w:jc w:val="both"/>
        <w:rPr>
          <w:szCs w:val="24"/>
        </w:rPr>
      </w:pPr>
      <w:r w:rsidRPr="00D03A86">
        <w:rPr>
          <w:szCs w:val="24"/>
        </w:rPr>
        <w:t>Sources of official guidance and assessment protocols</w:t>
      </w:r>
    </w:p>
    <w:p w14:paraId="13AF9E43" w14:textId="3F1FA802" w:rsidR="00F8075D" w:rsidRPr="00D03A86" w:rsidRDefault="00F8075D" w:rsidP="00940136">
      <w:pPr>
        <w:spacing w:after="0" w:line="240" w:lineRule="auto"/>
      </w:pPr>
    </w:p>
    <w:p w14:paraId="309C5762" w14:textId="77777777" w:rsidR="00673C5E" w:rsidRPr="00D03A86" w:rsidRDefault="00673C5E" w:rsidP="00673C5E">
      <w:pPr>
        <w:spacing w:after="0" w:line="240" w:lineRule="auto"/>
        <w:jc w:val="both"/>
        <w:rPr>
          <w:i/>
          <w:color w:val="4F81BD" w:themeColor="accent1"/>
        </w:rPr>
      </w:pPr>
      <w:bookmarkStart w:id="17" w:name="_Hlk524097237"/>
      <w:r w:rsidRPr="00D03A86">
        <w:rPr>
          <w:i/>
          <w:color w:val="4F81BD" w:themeColor="accent1"/>
        </w:rPr>
        <w:t>Details of the guidance provided to assessors, methodology used, questionnaires, assessment scales, pro-forma used in the process, etc, with links to sources where available.</w:t>
      </w:r>
    </w:p>
    <w:bookmarkEnd w:id="17"/>
    <w:p w14:paraId="3C7D329D" w14:textId="77777777" w:rsidR="00673C5E" w:rsidRPr="00D03A86" w:rsidRDefault="00673C5E" w:rsidP="00940136">
      <w:pPr>
        <w:spacing w:after="0" w:line="240" w:lineRule="auto"/>
      </w:pPr>
    </w:p>
    <w:p w14:paraId="20B93432" w14:textId="77777777" w:rsidR="00D903F2" w:rsidRPr="00D03A86" w:rsidRDefault="00D903F2" w:rsidP="00940136">
      <w:pPr>
        <w:spacing w:after="0" w:line="240" w:lineRule="auto"/>
        <w:jc w:val="both"/>
        <w:rPr>
          <w:szCs w:val="24"/>
        </w:rPr>
      </w:pPr>
      <w:r w:rsidRPr="00D03A86">
        <w:rPr>
          <w:szCs w:val="24"/>
        </w:rPr>
        <w:t>Details of the guidance provided to assessors, methodology used, questionnaires, assessment scales, pro-forma used in the process, etc, with links to sources where available.</w:t>
      </w:r>
    </w:p>
    <w:p w14:paraId="1698CCC7" w14:textId="77777777" w:rsidR="008F4587" w:rsidRPr="00D03A86" w:rsidRDefault="008F4587" w:rsidP="00940136">
      <w:pPr>
        <w:spacing w:after="0" w:line="240" w:lineRule="auto"/>
        <w:jc w:val="both"/>
        <w:rPr>
          <w:szCs w:val="24"/>
        </w:rPr>
      </w:pPr>
    </w:p>
    <w:p w14:paraId="3AEE7331" w14:textId="14039852" w:rsidR="009F067E" w:rsidRPr="00D03A86" w:rsidRDefault="00D7135A" w:rsidP="00940136">
      <w:pPr>
        <w:spacing w:after="0" w:line="240" w:lineRule="auto"/>
        <w:jc w:val="both"/>
        <w:rPr>
          <w:rFonts w:eastAsia="Times New Roman"/>
          <w:color w:val="000000"/>
          <w:szCs w:val="24"/>
          <w:lang w:eastAsia="en-GB"/>
        </w:rPr>
      </w:pPr>
      <w:r w:rsidRPr="00D03A86">
        <w:rPr>
          <w:szCs w:val="24"/>
        </w:rPr>
        <w:t>It is worth rema</w:t>
      </w:r>
      <w:r w:rsidR="00DF4C2D" w:rsidRPr="00D03A86">
        <w:rPr>
          <w:szCs w:val="24"/>
        </w:rPr>
        <w:t>r</w:t>
      </w:r>
      <w:r w:rsidRPr="00D03A86">
        <w:rPr>
          <w:szCs w:val="24"/>
        </w:rPr>
        <w:t>king firstly that i</w:t>
      </w:r>
      <w:r w:rsidR="001F357F" w:rsidRPr="00D03A86">
        <w:rPr>
          <w:szCs w:val="24"/>
        </w:rPr>
        <w:t>n</w:t>
      </w:r>
      <w:r w:rsidR="00DC2306" w:rsidRPr="00D03A86">
        <w:rPr>
          <w:szCs w:val="24"/>
        </w:rPr>
        <w:t xml:space="preserve"> </w:t>
      </w:r>
      <w:r w:rsidRPr="00D03A86">
        <w:rPr>
          <w:szCs w:val="24"/>
        </w:rPr>
        <w:t xml:space="preserve">the new law </w:t>
      </w:r>
      <w:r w:rsidR="00F860A2" w:rsidRPr="00D03A86">
        <w:rPr>
          <w:szCs w:val="24"/>
        </w:rPr>
        <w:t>regulating</w:t>
      </w:r>
      <w:r w:rsidR="008A1A67" w:rsidRPr="00D03A86">
        <w:rPr>
          <w:szCs w:val="24"/>
        </w:rPr>
        <w:t xml:space="preserve"> the </w:t>
      </w:r>
      <w:r w:rsidR="00DB713D" w:rsidRPr="00D03A86">
        <w:rPr>
          <w:szCs w:val="24"/>
        </w:rPr>
        <w:t xml:space="preserve">responsibilities </w:t>
      </w:r>
      <w:r w:rsidR="008A1A67" w:rsidRPr="00D03A86">
        <w:rPr>
          <w:szCs w:val="24"/>
        </w:rPr>
        <w:t>of the support structures in pri</w:t>
      </w:r>
      <w:r w:rsidRPr="00D03A86">
        <w:rPr>
          <w:szCs w:val="24"/>
        </w:rPr>
        <w:t>mary and secondary education</w:t>
      </w:r>
      <w:r w:rsidR="00664336" w:rsidRPr="00D03A86">
        <w:rPr>
          <w:szCs w:val="24"/>
        </w:rPr>
        <w:t xml:space="preserve">, the element of “diagnosis”, a key element previously, </w:t>
      </w:r>
      <w:r w:rsidR="008A1A67" w:rsidRPr="00D03A86">
        <w:rPr>
          <w:szCs w:val="24"/>
        </w:rPr>
        <w:t>is</w:t>
      </w:r>
      <w:r w:rsidR="00664336" w:rsidRPr="00D03A86">
        <w:rPr>
          <w:szCs w:val="24"/>
        </w:rPr>
        <w:t xml:space="preserve"> now</w:t>
      </w:r>
      <w:r w:rsidR="008A1A67" w:rsidRPr="00D03A86">
        <w:rPr>
          <w:szCs w:val="24"/>
        </w:rPr>
        <w:t xml:space="preserve"> entirely dismissed. </w:t>
      </w:r>
      <w:r w:rsidR="000F21BE" w:rsidRPr="00D03A86">
        <w:rPr>
          <w:szCs w:val="24"/>
        </w:rPr>
        <w:t>It is indicative that</w:t>
      </w:r>
      <w:r w:rsidR="00F015B9" w:rsidRPr="00D03A86">
        <w:rPr>
          <w:szCs w:val="24"/>
        </w:rPr>
        <w:t xml:space="preserve"> </w:t>
      </w:r>
      <w:r w:rsidR="008A1A67" w:rsidRPr="00D03A86">
        <w:rPr>
          <w:szCs w:val="24"/>
        </w:rPr>
        <w:t>under previous legislation EDEAY stood for “</w:t>
      </w:r>
      <w:r w:rsidR="008A1A67" w:rsidRPr="00D03A86">
        <w:rPr>
          <w:b/>
          <w:i/>
          <w:szCs w:val="24"/>
        </w:rPr>
        <w:t>Diagnostic</w:t>
      </w:r>
      <w:r w:rsidR="008A1A67" w:rsidRPr="00D03A86">
        <w:rPr>
          <w:b/>
          <w:szCs w:val="24"/>
        </w:rPr>
        <w:t xml:space="preserve"> </w:t>
      </w:r>
      <w:r w:rsidR="008A1A67" w:rsidRPr="00D03A86">
        <w:rPr>
          <w:rFonts w:eastAsia="Times New Roman"/>
          <w:i/>
          <w:color w:val="000000"/>
          <w:szCs w:val="24"/>
          <w:lang w:eastAsia="en-GB"/>
        </w:rPr>
        <w:t>Educational Assessment and Support Committee</w:t>
      </w:r>
      <w:r w:rsidR="008A1A67" w:rsidRPr="00D03A86">
        <w:rPr>
          <w:rFonts w:eastAsia="Times New Roman"/>
          <w:color w:val="000000"/>
          <w:szCs w:val="24"/>
          <w:lang w:eastAsia="en-GB"/>
        </w:rPr>
        <w:t xml:space="preserve">” while support structures at regional level were instead named </w:t>
      </w:r>
      <w:r w:rsidR="008A1A67" w:rsidRPr="00D03A86">
        <w:rPr>
          <w:rFonts w:eastAsia="Times New Roman"/>
          <w:i/>
          <w:color w:val="000000"/>
          <w:szCs w:val="24"/>
          <w:lang w:eastAsia="en-GB"/>
        </w:rPr>
        <w:t>Centres for Differential Diagnosis</w:t>
      </w:r>
      <w:r w:rsidR="00573610" w:rsidRPr="00D03A86">
        <w:rPr>
          <w:rFonts w:eastAsia="Times New Roman"/>
          <w:i/>
          <w:color w:val="000000"/>
          <w:szCs w:val="24"/>
          <w:lang w:eastAsia="en-GB"/>
        </w:rPr>
        <w:t>, Diagnosis</w:t>
      </w:r>
      <w:r w:rsidR="008A1A67" w:rsidRPr="00D03A86">
        <w:rPr>
          <w:rFonts w:eastAsia="Times New Roman"/>
          <w:i/>
          <w:color w:val="000000"/>
          <w:szCs w:val="24"/>
          <w:lang w:eastAsia="en-GB"/>
        </w:rPr>
        <w:t xml:space="preserve"> and Support</w:t>
      </w:r>
      <w:r w:rsidR="001B2CF0" w:rsidRPr="00D03A86">
        <w:rPr>
          <w:rFonts w:eastAsia="Times New Roman"/>
          <w:i/>
          <w:color w:val="000000"/>
          <w:szCs w:val="24"/>
          <w:lang w:eastAsia="en-GB"/>
        </w:rPr>
        <w:t xml:space="preserve"> </w:t>
      </w:r>
      <w:r w:rsidR="00573610" w:rsidRPr="00D03A86">
        <w:rPr>
          <w:rFonts w:eastAsia="Times New Roman"/>
          <w:i/>
          <w:color w:val="000000"/>
          <w:szCs w:val="24"/>
          <w:lang w:eastAsia="en-GB"/>
        </w:rPr>
        <w:t xml:space="preserve">of Special Educational Needs </w:t>
      </w:r>
      <w:r w:rsidR="001B2CF0" w:rsidRPr="00D03A86">
        <w:rPr>
          <w:rFonts w:eastAsia="Times New Roman"/>
          <w:i/>
          <w:color w:val="000000"/>
          <w:szCs w:val="24"/>
          <w:lang w:eastAsia="en-GB"/>
        </w:rPr>
        <w:t>(KEDDY)</w:t>
      </w:r>
      <w:r w:rsidR="00F8075D" w:rsidRPr="00D03A86">
        <w:rPr>
          <w:rFonts w:eastAsia="Times New Roman"/>
          <w:i/>
          <w:color w:val="000000"/>
          <w:szCs w:val="24"/>
          <w:lang w:eastAsia="en-GB"/>
        </w:rPr>
        <w:t>.</w:t>
      </w:r>
      <w:r w:rsidR="008A1A67" w:rsidRPr="00D03A86">
        <w:rPr>
          <w:rStyle w:val="FootnoteReference"/>
          <w:rFonts w:eastAsia="Times New Roman"/>
          <w:color w:val="000000"/>
          <w:szCs w:val="24"/>
          <w:lang w:eastAsia="en-GB"/>
        </w:rPr>
        <w:footnoteReference w:id="38"/>
      </w:r>
    </w:p>
    <w:p w14:paraId="4526A3AD" w14:textId="77777777" w:rsidR="008F4587" w:rsidRPr="00D03A86" w:rsidRDefault="008F4587" w:rsidP="00940136">
      <w:pPr>
        <w:spacing w:after="0" w:line="240" w:lineRule="auto"/>
        <w:jc w:val="both"/>
        <w:rPr>
          <w:rFonts w:eastAsia="Times New Roman"/>
          <w:color w:val="000000"/>
          <w:szCs w:val="24"/>
          <w:lang w:eastAsia="en-GB"/>
        </w:rPr>
      </w:pPr>
    </w:p>
    <w:p w14:paraId="7B4E8385" w14:textId="4CDFA2B6" w:rsidR="008A1A67" w:rsidRPr="00D03A86" w:rsidRDefault="008A1A67" w:rsidP="00940136">
      <w:pPr>
        <w:spacing w:after="0" w:line="240" w:lineRule="auto"/>
        <w:jc w:val="both"/>
        <w:rPr>
          <w:szCs w:val="24"/>
        </w:rPr>
      </w:pPr>
      <w:r w:rsidRPr="00D03A86">
        <w:rPr>
          <w:rFonts w:eastAsia="Times New Roman"/>
          <w:color w:val="000000"/>
          <w:szCs w:val="24"/>
          <w:lang w:eastAsia="en-GB"/>
        </w:rPr>
        <w:t xml:space="preserve">The </w:t>
      </w:r>
      <w:r w:rsidR="000E1FEC" w:rsidRPr="00D03A86">
        <w:rPr>
          <w:rFonts w:eastAsia="Times New Roman"/>
          <w:color w:val="000000"/>
          <w:szCs w:val="24"/>
          <w:lang w:eastAsia="en-GB"/>
        </w:rPr>
        <w:t>emphasis of the</w:t>
      </w:r>
      <w:r w:rsidRPr="00D03A86">
        <w:rPr>
          <w:rFonts w:eastAsia="Times New Roman"/>
          <w:color w:val="000000"/>
          <w:szCs w:val="24"/>
          <w:lang w:eastAsia="en-GB"/>
        </w:rPr>
        <w:t xml:space="preserve"> reforme</w:t>
      </w:r>
      <w:r w:rsidR="000E1FEC" w:rsidRPr="00D03A86">
        <w:rPr>
          <w:rFonts w:eastAsia="Times New Roman"/>
          <w:color w:val="000000"/>
          <w:szCs w:val="24"/>
          <w:lang w:eastAsia="en-GB"/>
        </w:rPr>
        <w:t xml:space="preserve">d support structures is rather </w:t>
      </w:r>
      <w:r w:rsidR="007F10BF" w:rsidRPr="00D03A86">
        <w:rPr>
          <w:rFonts w:eastAsia="Times New Roman"/>
          <w:color w:val="000000"/>
          <w:szCs w:val="24"/>
          <w:lang w:eastAsia="en-GB"/>
        </w:rPr>
        <w:t xml:space="preserve">shifted to </w:t>
      </w:r>
      <w:r w:rsidR="000E1FEC" w:rsidRPr="00D03A86">
        <w:rPr>
          <w:szCs w:val="24"/>
        </w:rPr>
        <w:t>“ensuring</w:t>
      </w:r>
      <w:r w:rsidRPr="00D03A86">
        <w:rPr>
          <w:szCs w:val="24"/>
        </w:rPr>
        <w:t xml:space="preserve"> equal access of all pupils to education </w:t>
      </w:r>
      <w:r w:rsidR="002B103D" w:rsidRPr="00D03A86">
        <w:rPr>
          <w:szCs w:val="24"/>
        </w:rPr>
        <w:t>without exception</w:t>
      </w:r>
      <w:r w:rsidR="00015620" w:rsidRPr="00D03A86">
        <w:rPr>
          <w:szCs w:val="24"/>
        </w:rPr>
        <w:t xml:space="preserve"> </w:t>
      </w:r>
      <w:r w:rsidRPr="00D03A86">
        <w:rPr>
          <w:szCs w:val="24"/>
        </w:rPr>
        <w:t>and safeguard</w:t>
      </w:r>
      <w:r w:rsidR="006F1100" w:rsidRPr="00D03A86">
        <w:rPr>
          <w:szCs w:val="24"/>
        </w:rPr>
        <w:t>ing</w:t>
      </w:r>
      <w:r w:rsidRPr="00D03A86">
        <w:rPr>
          <w:szCs w:val="24"/>
        </w:rPr>
        <w:t xml:space="preserve"> their psychosocial development and progress” by providing support based on a holistic assessment of needs within education (Draft Law 2018, Art.1).</w:t>
      </w:r>
    </w:p>
    <w:p w14:paraId="0E3E7ECD" w14:textId="77777777" w:rsidR="008F4587" w:rsidRPr="00D03A86" w:rsidRDefault="008F4587" w:rsidP="00940136">
      <w:pPr>
        <w:spacing w:after="0" w:line="240" w:lineRule="auto"/>
        <w:jc w:val="both"/>
        <w:rPr>
          <w:szCs w:val="24"/>
        </w:rPr>
      </w:pPr>
    </w:p>
    <w:p w14:paraId="2522AD89" w14:textId="03AF78F5" w:rsidR="00777534" w:rsidRPr="00D03A86" w:rsidRDefault="00DB713D" w:rsidP="00940136">
      <w:pPr>
        <w:spacing w:after="0" w:line="240" w:lineRule="auto"/>
        <w:jc w:val="both"/>
        <w:rPr>
          <w:szCs w:val="24"/>
        </w:rPr>
      </w:pPr>
      <w:r w:rsidRPr="00D03A86">
        <w:rPr>
          <w:szCs w:val="24"/>
        </w:rPr>
        <w:t>T</w:t>
      </w:r>
      <w:r w:rsidR="006F1100" w:rsidRPr="00D03A86">
        <w:rPr>
          <w:szCs w:val="24"/>
        </w:rPr>
        <w:t>he assessment method and process</w:t>
      </w:r>
      <w:r w:rsidR="008302E8" w:rsidRPr="00D03A86">
        <w:rPr>
          <w:szCs w:val="24"/>
        </w:rPr>
        <w:t>es are not</w:t>
      </w:r>
      <w:r w:rsidR="006F1100" w:rsidRPr="00D03A86">
        <w:rPr>
          <w:szCs w:val="24"/>
        </w:rPr>
        <w:t xml:space="preserve"> </w:t>
      </w:r>
      <w:r w:rsidR="005267CD" w:rsidRPr="00D03A86">
        <w:rPr>
          <w:szCs w:val="24"/>
        </w:rPr>
        <w:t xml:space="preserve">detailed in the new </w:t>
      </w:r>
      <w:r w:rsidR="00A2009B" w:rsidRPr="00D03A86">
        <w:rPr>
          <w:szCs w:val="24"/>
        </w:rPr>
        <w:t xml:space="preserve">draft </w:t>
      </w:r>
      <w:r w:rsidR="005267CD" w:rsidRPr="00D03A86">
        <w:rPr>
          <w:szCs w:val="24"/>
        </w:rPr>
        <w:t>legislation, pres</w:t>
      </w:r>
      <w:r w:rsidR="006F1100" w:rsidRPr="00D03A86">
        <w:rPr>
          <w:szCs w:val="24"/>
        </w:rPr>
        <w:t xml:space="preserve">umably as </w:t>
      </w:r>
      <w:r w:rsidR="008F4587" w:rsidRPr="00D03A86">
        <w:rPr>
          <w:szCs w:val="24"/>
        </w:rPr>
        <w:t>it primarily</w:t>
      </w:r>
      <w:r w:rsidR="006F1100" w:rsidRPr="00D03A86">
        <w:rPr>
          <w:szCs w:val="24"/>
        </w:rPr>
        <w:t xml:space="preserve"> concerns </w:t>
      </w:r>
      <w:r w:rsidR="007B584D" w:rsidRPr="00D03A86">
        <w:rPr>
          <w:szCs w:val="24"/>
        </w:rPr>
        <w:t xml:space="preserve">the </w:t>
      </w:r>
      <w:r w:rsidR="005267CD" w:rsidRPr="00D03A86">
        <w:rPr>
          <w:szCs w:val="24"/>
        </w:rPr>
        <w:t>restructuring of support services</w:t>
      </w:r>
      <w:r w:rsidR="008F4587" w:rsidRPr="00D03A86">
        <w:rPr>
          <w:szCs w:val="24"/>
        </w:rPr>
        <w:t xml:space="preserve"> at this stage</w:t>
      </w:r>
      <w:r w:rsidR="007B584D" w:rsidRPr="00D03A86">
        <w:rPr>
          <w:szCs w:val="24"/>
        </w:rPr>
        <w:t xml:space="preserve">. It </w:t>
      </w:r>
      <w:r w:rsidR="00177E4E" w:rsidRPr="00D03A86">
        <w:rPr>
          <w:szCs w:val="24"/>
        </w:rPr>
        <w:t>can be expected that updated</w:t>
      </w:r>
      <w:r w:rsidR="007B584D" w:rsidRPr="00D03A86">
        <w:rPr>
          <w:szCs w:val="24"/>
        </w:rPr>
        <w:t xml:space="preserve"> guidance </w:t>
      </w:r>
      <w:r w:rsidR="00282A41" w:rsidRPr="00D03A86">
        <w:rPr>
          <w:szCs w:val="24"/>
        </w:rPr>
        <w:t>will be</w:t>
      </w:r>
      <w:r w:rsidR="007B584D" w:rsidRPr="00D03A86">
        <w:rPr>
          <w:szCs w:val="24"/>
        </w:rPr>
        <w:t xml:space="preserve"> issued once the new network of structures is operational, including the newly established </w:t>
      </w:r>
      <w:r w:rsidR="00A10603" w:rsidRPr="00D03A86">
        <w:rPr>
          <w:szCs w:val="24"/>
        </w:rPr>
        <w:t>institution</w:t>
      </w:r>
      <w:r w:rsidR="007B584D" w:rsidRPr="00D03A86">
        <w:rPr>
          <w:szCs w:val="24"/>
        </w:rPr>
        <w:t xml:space="preserve"> of the </w:t>
      </w:r>
      <w:r w:rsidR="00A10603" w:rsidRPr="00D03A86">
        <w:rPr>
          <w:szCs w:val="24"/>
        </w:rPr>
        <w:t xml:space="preserve">Regional </w:t>
      </w:r>
      <w:r w:rsidR="00A10603" w:rsidRPr="00D03A86">
        <w:rPr>
          <w:szCs w:val="24"/>
        </w:rPr>
        <w:lastRenderedPageBreak/>
        <w:t>Centre</w:t>
      </w:r>
      <w:r w:rsidR="007B584D" w:rsidRPr="00D03A86">
        <w:rPr>
          <w:szCs w:val="24"/>
        </w:rPr>
        <w:t xml:space="preserve"> for Educational Planning (PEKES) (Art. 4) </w:t>
      </w:r>
      <w:r w:rsidR="006F1100" w:rsidRPr="00D03A86">
        <w:rPr>
          <w:szCs w:val="24"/>
        </w:rPr>
        <w:t xml:space="preserve">which is </w:t>
      </w:r>
      <w:r w:rsidR="007B584D" w:rsidRPr="00D03A86">
        <w:rPr>
          <w:szCs w:val="24"/>
        </w:rPr>
        <w:t xml:space="preserve">responsible for </w:t>
      </w:r>
      <w:r w:rsidR="00671897" w:rsidRPr="00D03A86">
        <w:rPr>
          <w:szCs w:val="24"/>
        </w:rPr>
        <w:t>programming</w:t>
      </w:r>
      <w:r w:rsidR="007B584D" w:rsidRPr="00D03A86">
        <w:rPr>
          <w:szCs w:val="24"/>
        </w:rPr>
        <w:t xml:space="preserve">, coordinating and </w:t>
      </w:r>
      <w:r w:rsidR="004F12D5" w:rsidRPr="00D03A86">
        <w:rPr>
          <w:szCs w:val="24"/>
        </w:rPr>
        <w:t>monitoring educational activities as a whole,</w:t>
      </w:r>
      <w:r w:rsidR="006F1100" w:rsidRPr="00D03A86">
        <w:rPr>
          <w:szCs w:val="24"/>
        </w:rPr>
        <w:t xml:space="preserve"> for</w:t>
      </w:r>
      <w:r w:rsidR="004F12D5" w:rsidRPr="00D03A86">
        <w:rPr>
          <w:szCs w:val="24"/>
        </w:rPr>
        <w:t xml:space="preserve"> </w:t>
      </w:r>
      <w:r w:rsidR="004D6546" w:rsidRPr="00D03A86">
        <w:rPr>
          <w:szCs w:val="24"/>
        </w:rPr>
        <w:t xml:space="preserve">providing </w:t>
      </w:r>
      <w:r w:rsidR="004F12D5" w:rsidRPr="00D03A86">
        <w:rPr>
          <w:szCs w:val="24"/>
        </w:rPr>
        <w:t xml:space="preserve">scientific guidance of </w:t>
      </w:r>
      <w:r w:rsidR="006F1100" w:rsidRPr="00D03A86">
        <w:rPr>
          <w:szCs w:val="24"/>
        </w:rPr>
        <w:t>educational staff, as much as coordinating the activities of KESY.</w:t>
      </w:r>
    </w:p>
    <w:p w14:paraId="02221EC6" w14:textId="77777777" w:rsidR="008F4587" w:rsidRPr="00D03A86" w:rsidRDefault="008F4587" w:rsidP="00940136">
      <w:pPr>
        <w:spacing w:after="0" w:line="240" w:lineRule="auto"/>
        <w:jc w:val="both"/>
        <w:rPr>
          <w:szCs w:val="24"/>
        </w:rPr>
      </w:pPr>
    </w:p>
    <w:p w14:paraId="62428D91" w14:textId="68F74CA4" w:rsidR="00BB1BA1" w:rsidRPr="00D03A86" w:rsidRDefault="00690094" w:rsidP="0055117D">
      <w:pPr>
        <w:pStyle w:val="CommentText"/>
        <w:spacing w:after="0"/>
        <w:jc w:val="both"/>
        <w:rPr>
          <w:sz w:val="24"/>
          <w:szCs w:val="24"/>
        </w:rPr>
      </w:pPr>
      <w:r w:rsidRPr="00D03A86">
        <w:rPr>
          <w:sz w:val="24"/>
          <w:szCs w:val="24"/>
        </w:rPr>
        <w:t xml:space="preserve">It should be noted that EDEAY have existed since 2014 with a similar composition and purpose. They are also referred to in the new law, this time with a slightly changed name as noted, and being given more responsibility in making sure support is provided in the school before any case is referred to regional level. </w:t>
      </w:r>
      <w:r w:rsidR="00DF4C2D" w:rsidRPr="00D03A86">
        <w:rPr>
          <w:sz w:val="24"/>
          <w:szCs w:val="24"/>
        </w:rPr>
        <w:t>Current o</w:t>
      </w:r>
      <w:r w:rsidR="009A0317" w:rsidRPr="00D03A86">
        <w:rPr>
          <w:sz w:val="24"/>
          <w:szCs w:val="24"/>
        </w:rPr>
        <w:t xml:space="preserve">fficial </w:t>
      </w:r>
      <w:r w:rsidR="00777534" w:rsidRPr="00D03A86">
        <w:rPr>
          <w:sz w:val="24"/>
          <w:szCs w:val="24"/>
        </w:rPr>
        <w:t xml:space="preserve">guidance </w:t>
      </w:r>
      <w:r w:rsidR="000D3B13" w:rsidRPr="00D03A86">
        <w:rPr>
          <w:sz w:val="24"/>
          <w:szCs w:val="24"/>
        </w:rPr>
        <w:t>provide</w:t>
      </w:r>
      <w:r w:rsidR="00777534" w:rsidRPr="00D03A86">
        <w:rPr>
          <w:sz w:val="24"/>
          <w:szCs w:val="24"/>
        </w:rPr>
        <w:t xml:space="preserve">d </w:t>
      </w:r>
      <w:r w:rsidR="00015620" w:rsidRPr="00D03A86">
        <w:rPr>
          <w:sz w:val="24"/>
          <w:szCs w:val="24"/>
        </w:rPr>
        <w:t>about</w:t>
      </w:r>
      <w:r w:rsidR="009A0317" w:rsidRPr="00D03A86">
        <w:rPr>
          <w:sz w:val="24"/>
          <w:szCs w:val="24"/>
        </w:rPr>
        <w:t xml:space="preserve"> the role of </w:t>
      </w:r>
      <w:r w:rsidR="00733450" w:rsidRPr="00D03A86">
        <w:rPr>
          <w:sz w:val="24"/>
          <w:szCs w:val="24"/>
        </w:rPr>
        <w:t>EDEAY</w:t>
      </w:r>
      <w:r w:rsidR="00201F4C" w:rsidRPr="00D03A86">
        <w:rPr>
          <w:sz w:val="24"/>
          <w:szCs w:val="24"/>
        </w:rPr>
        <w:t xml:space="preserve">, which </w:t>
      </w:r>
      <w:r w:rsidR="00070139" w:rsidRPr="00D03A86">
        <w:rPr>
          <w:sz w:val="24"/>
          <w:szCs w:val="24"/>
        </w:rPr>
        <w:t xml:space="preserve">also </w:t>
      </w:r>
      <w:r w:rsidR="00482DD2" w:rsidRPr="00D03A86">
        <w:rPr>
          <w:sz w:val="24"/>
          <w:szCs w:val="24"/>
        </w:rPr>
        <w:t>ma</w:t>
      </w:r>
      <w:r w:rsidR="00282A41" w:rsidRPr="00D03A86">
        <w:rPr>
          <w:sz w:val="24"/>
          <w:szCs w:val="24"/>
        </w:rPr>
        <w:t>kes</w:t>
      </w:r>
      <w:r w:rsidR="005C17F8" w:rsidRPr="00D03A86">
        <w:rPr>
          <w:sz w:val="24"/>
          <w:szCs w:val="24"/>
        </w:rPr>
        <w:t xml:space="preserve"> explicit reference to</w:t>
      </w:r>
      <w:r w:rsidR="00201F4C" w:rsidRPr="00D03A86">
        <w:rPr>
          <w:sz w:val="24"/>
          <w:szCs w:val="24"/>
        </w:rPr>
        <w:t xml:space="preserve"> the UNCRPD</w:t>
      </w:r>
      <w:r w:rsidR="00A83940" w:rsidRPr="00D03A86">
        <w:rPr>
          <w:sz w:val="24"/>
          <w:szCs w:val="24"/>
        </w:rPr>
        <w:t xml:space="preserve"> (Ministerial Decision 2014</w:t>
      </w:r>
      <w:r w:rsidR="00A83940" w:rsidRPr="00D03A86">
        <w:rPr>
          <w:rStyle w:val="FootnoteReference"/>
          <w:sz w:val="24"/>
          <w:szCs w:val="24"/>
        </w:rPr>
        <w:footnoteReference w:id="39"/>
      </w:r>
      <w:r w:rsidR="00A83940" w:rsidRPr="00D03A86">
        <w:rPr>
          <w:sz w:val="24"/>
          <w:szCs w:val="24"/>
        </w:rPr>
        <w:t xml:space="preserve"> Art.1)</w:t>
      </w:r>
      <w:r w:rsidR="00F8075D" w:rsidRPr="00D03A86">
        <w:rPr>
          <w:sz w:val="24"/>
          <w:szCs w:val="24"/>
        </w:rPr>
        <w:t>,</w:t>
      </w:r>
      <w:r w:rsidRPr="00D03A86">
        <w:rPr>
          <w:rStyle w:val="FootnoteReference"/>
          <w:sz w:val="24"/>
          <w:szCs w:val="24"/>
        </w:rPr>
        <w:footnoteReference w:id="40"/>
      </w:r>
      <w:r w:rsidR="00201F4C" w:rsidRPr="00D03A86">
        <w:rPr>
          <w:sz w:val="24"/>
          <w:szCs w:val="24"/>
        </w:rPr>
        <w:t xml:space="preserve"> </w:t>
      </w:r>
      <w:r w:rsidR="0039325B" w:rsidRPr="00D03A86">
        <w:rPr>
          <w:sz w:val="24"/>
          <w:szCs w:val="24"/>
        </w:rPr>
        <w:t>describes the aspects to be considered in the educational assessment process, including:</w:t>
      </w:r>
    </w:p>
    <w:p w14:paraId="4F706F26" w14:textId="77777777" w:rsidR="00854397" w:rsidRPr="00D03A86" w:rsidRDefault="00854397" w:rsidP="0055117D">
      <w:pPr>
        <w:pStyle w:val="CommentText"/>
        <w:spacing w:after="0"/>
        <w:jc w:val="both"/>
        <w:rPr>
          <w:sz w:val="24"/>
          <w:szCs w:val="24"/>
        </w:rPr>
      </w:pPr>
    </w:p>
    <w:p w14:paraId="254AD3C7" w14:textId="156A1E3A" w:rsidR="0039325B" w:rsidRPr="00D03A86" w:rsidRDefault="0039325B" w:rsidP="00940136">
      <w:pPr>
        <w:pStyle w:val="ListParagraph"/>
        <w:numPr>
          <w:ilvl w:val="0"/>
          <w:numId w:val="37"/>
        </w:numPr>
        <w:spacing w:after="0" w:line="240" w:lineRule="auto"/>
        <w:ind w:left="567" w:hanging="567"/>
        <w:jc w:val="both"/>
        <w:rPr>
          <w:szCs w:val="24"/>
        </w:rPr>
      </w:pPr>
      <w:r w:rsidRPr="00D03A86">
        <w:rPr>
          <w:szCs w:val="24"/>
        </w:rPr>
        <w:t xml:space="preserve">Educational </w:t>
      </w:r>
      <w:r w:rsidR="00747332" w:rsidRPr="00D03A86">
        <w:rPr>
          <w:szCs w:val="24"/>
        </w:rPr>
        <w:t xml:space="preserve">factors </w:t>
      </w:r>
      <w:r w:rsidRPr="00D03A86">
        <w:rPr>
          <w:szCs w:val="24"/>
        </w:rPr>
        <w:t>(Article 4)</w:t>
      </w:r>
    </w:p>
    <w:p w14:paraId="2F3910D5" w14:textId="447592C3" w:rsidR="0039325B" w:rsidRPr="00D03A86" w:rsidRDefault="0039325B" w:rsidP="00940136">
      <w:pPr>
        <w:pStyle w:val="ListParagraph"/>
        <w:numPr>
          <w:ilvl w:val="0"/>
          <w:numId w:val="34"/>
        </w:numPr>
        <w:spacing w:after="0" w:line="240" w:lineRule="auto"/>
        <w:ind w:left="1134" w:hanging="578"/>
        <w:jc w:val="both"/>
        <w:rPr>
          <w:rFonts w:eastAsia="Times New Roman"/>
          <w:color w:val="000000"/>
          <w:szCs w:val="24"/>
          <w:lang w:eastAsia="en-GB"/>
        </w:rPr>
      </w:pPr>
      <w:r w:rsidRPr="00D03A86">
        <w:rPr>
          <w:rFonts w:eastAsia="Times New Roman"/>
          <w:color w:val="000000"/>
          <w:szCs w:val="24"/>
          <w:lang w:eastAsia="en-GB"/>
        </w:rPr>
        <w:t>The ability of the pupil to adapt to the school curriculum and keep pace with the rest of the pupils in class</w:t>
      </w:r>
    </w:p>
    <w:p w14:paraId="6D8C0C58" w14:textId="5FFF2708" w:rsidR="0039325B" w:rsidRPr="00D03A86" w:rsidRDefault="0039325B" w:rsidP="00940136">
      <w:pPr>
        <w:pStyle w:val="ListParagraph"/>
        <w:numPr>
          <w:ilvl w:val="0"/>
          <w:numId w:val="34"/>
        </w:numPr>
        <w:spacing w:after="0" w:line="240" w:lineRule="auto"/>
        <w:ind w:left="1134" w:hanging="578"/>
        <w:jc w:val="both"/>
        <w:rPr>
          <w:rFonts w:eastAsia="Times New Roman"/>
          <w:color w:val="000000"/>
          <w:szCs w:val="24"/>
          <w:lang w:eastAsia="en-GB"/>
        </w:rPr>
      </w:pPr>
      <w:r w:rsidRPr="00D03A86">
        <w:rPr>
          <w:rFonts w:eastAsia="Times New Roman"/>
          <w:color w:val="000000"/>
          <w:szCs w:val="24"/>
          <w:lang w:eastAsia="en-GB"/>
        </w:rPr>
        <w:t xml:space="preserve">The </w:t>
      </w:r>
      <w:r w:rsidR="00733450" w:rsidRPr="00D03A86">
        <w:rPr>
          <w:rFonts w:eastAsia="Times New Roman"/>
          <w:color w:val="000000"/>
          <w:szCs w:val="24"/>
          <w:lang w:eastAsia="en-GB"/>
        </w:rPr>
        <w:t xml:space="preserve">educational and </w:t>
      </w:r>
      <w:r w:rsidRPr="00D03A86">
        <w:rPr>
          <w:rFonts w:eastAsia="Times New Roman"/>
          <w:color w:val="000000"/>
          <w:szCs w:val="24"/>
          <w:lang w:eastAsia="en-GB"/>
        </w:rPr>
        <w:t>wider knowledge of the pupil</w:t>
      </w:r>
    </w:p>
    <w:p w14:paraId="2C757FA6" w14:textId="2AB94011" w:rsidR="0039325B" w:rsidRPr="00D03A86" w:rsidRDefault="0039325B" w:rsidP="00940136">
      <w:pPr>
        <w:pStyle w:val="ListParagraph"/>
        <w:numPr>
          <w:ilvl w:val="0"/>
          <w:numId w:val="34"/>
        </w:numPr>
        <w:spacing w:after="0" w:line="240" w:lineRule="auto"/>
        <w:ind w:left="1134" w:hanging="578"/>
        <w:jc w:val="both"/>
        <w:rPr>
          <w:rFonts w:eastAsia="Times New Roman"/>
          <w:color w:val="000000"/>
          <w:szCs w:val="24"/>
          <w:lang w:eastAsia="en-GB"/>
        </w:rPr>
      </w:pPr>
      <w:r w:rsidRPr="00D03A86">
        <w:rPr>
          <w:rFonts w:eastAsia="Times New Roman"/>
          <w:color w:val="000000"/>
          <w:szCs w:val="24"/>
          <w:lang w:eastAsia="en-GB"/>
        </w:rPr>
        <w:t>School, cognitive, communication, and social skills, as well as the ability to perform daily activities without assistance</w:t>
      </w:r>
    </w:p>
    <w:p w14:paraId="1FDB930F" w14:textId="13BB212E" w:rsidR="0039325B" w:rsidRPr="00D03A86" w:rsidRDefault="0039325B" w:rsidP="00940136">
      <w:pPr>
        <w:pStyle w:val="ListParagraph"/>
        <w:numPr>
          <w:ilvl w:val="0"/>
          <w:numId w:val="34"/>
        </w:numPr>
        <w:spacing w:after="0" w:line="240" w:lineRule="auto"/>
        <w:ind w:left="1134" w:hanging="578"/>
        <w:jc w:val="both"/>
        <w:rPr>
          <w:rFonts w:eastAsia="Times New Roman"/>
          <w:color w:val="000000"/>
          <w:szCs w:val="24"/>
          <w:lang w:eastAsia="en-GB"/>
        </w:rPr>
      </w:pPr>
      <w:r w:rsidRPr="00D03A86">
        <w:rPr>
          <w:rFonts w:eastAsia="Times New Roman"/>
          <w:color w:val="000000"/>
          <w:szCs w:val="24"/>
          <w:lang w:eastAsia="en-GB"/>
        </w:rPr>
        <w:t xml:space="preserve">Any other educational interventions </w:t>
      </w:r>
    </w:p>
    <w:p w14:paraId="69AB86EC" w14:textId="053C7B03" w:rsidR="0039325B" w:rsidRPr="00D03A86" w:rsidRDefault="0039325B" w:rsidP="00940136">
      <w:pPr>
        <w:pStyle w:val="ListParagraph"/>
        <w:numPr>
          <w:ilvl w:val="0"/>
          <w:numId w:val="34"/>
        </w:numPr>
        <w:spacing w:after="0" w:line="240" w:lineRule="auto"/>
        <w:ind w:left="1134" w:hanging="578"/>
        <w:jc w:val="both"/>
        <w:rPr>
          <w:rFonts w:eastAsia="Times New Roman"/>
          <w:color w:val="000000"/>
          <w:szCs w:val="24"/>
          <w:lang w:eastAsia="en-GB"/>
        </w:rPr>
      </w:pPr>
      <w:r w:rsidRPr="00D03A86">
        <w:rPr>
          <w:rFonts w:eastAsia="Times New Roman"/>
          <w:color w:val="000000"/>
          <w:szCs w:val="24"/>
          <w:lang w:eastAsia="en-GB"/>
        </w:rPr>
        <w:t xml:space="preserve">Observation protocols during class </w:t>
      </w:r>
    </w:p>
    <w:p w14:paraId="7C47E24D" w14:textId="30494808" w:rsidR="0039325B" w:rsidRPr="00D03A86" w:rsidRDefault="0039325B" w:rsidP="00940136">
      <w:pPr>
        <w:pStyle w:val="ListParagraph"/>
        <w:numPr>
          <w:ilvl w:val="0"/>
          <w:numId w:val="34"/>
        </w:numPr>
        <w:spacing w:after="0" w:line="240" w:lineRule="auto"/>
        <w:ind w:left="1134" w:hanging="578"/>
        <w:jc w:val="both"/>
        <w:rPr>
          <w:rFonts w:eastAsia="Times New Roman"/>
          <w:color w:val="000000"/>
          <w:szCs w:val="24"/>
          <w:lang w:eastAsia="en-GB"/>
        </w:rPr>
      </w:pPr>
      <w:r w:rsidRPr="00D03A86">
        <w:rPr>
          <w:rFonts w:eastAsia="Times New Roman"/>
          <w:color w:val="000000"/>
          <w:szCs w:val="24"/>
          <w:lang w:eastAsia="en-GB"/>
        </w:rPr>
        <w:t>Homework or informal tests</w:t>
      </w:r>
    </w:p>
    <w:p w14:paraId="065D210B" w14:textId="77777777" w:rsidR="00BB1BA1" w:rsidRPr="00D03A86" w:rsidRDefault="00BB1BA1" w:rsidP="00940136">
      <w:pPr>
        <w:pStyle w:val="ListParagraph"/>
        <w:spacing w:after="0" w:line="240" w:lineRule="auto"/>
        <w:jc w:val="both"/>
        <w:rPr>
          <w:rFonts w:eastAsia="Times New Roman"/>
          <w:color w:val="000000"/>
          <w:szCs w:val="24"/>
          <w:lang w:eastAsia="en-GB"/>
        </w:rPr>
      </w:pPr>
    </w:p>
    <w:p w14:paraId="1C48D395" w14:textId="77777777" w:rsidR="00854397" w:rsidRPr="00D03A86" w:rsidRDefault="0039325B" w:rsidP="0055117D">
      <w:pPr>
        <w:pStyle w:val="ListParagraph"/>
        <w:numPr>
          <w:ilvl w:val="0"/>
          <w:numId w:val="37"/>
        </w:numPr>
        <w:spacing w:after="0" w:line="240" w:lineRule="auto"/>
        <w:ind w:left="567" w:hanging="567"/>
        <w:jc w:val="both"/>
        <w:rPr>
          <w:rFonts w:eastAsia="Times New Roman"/>
          <w:color w:val="000000"/>
          <w:szCs w:val="24"/>
          <w:lang w:eastAsia="en-GB"/>
        </w:rPr>
      </w:pPr>
      <w:r w:rsidRPr="00D03A86">
        <w:rPr>
          <w:rFonts w:eastAsia="Times New Roman"/>
          <w:color w:val="000000"/>
          <w:szCs w:val="24"/>
          <w:lang w:eastAsia="en-GB"/>
        </w:rPr>
        <w:t>Social, financial, environmental, and family factors that obstruct access to school</w:t>
      </w:r>
      <w:r w:rsidR="005E5290" w:rsidRPr="00D03A86">
        <w:rPr>
          <w:rFonts w:eastAsia="Times New Roman"/>
          <w:color w:val="000000"/>
          <w:szCs w:val="24"/>
          <w:lang w:eastAsia="en-GB"/>
        </w:rPr>
        <w:t xml:space="preserve"> or create inequalities and discrimination against pupils with disability (Article 5, par.2)</w:t>
      </w:r>
      <w:r w:rsidR="00854397" w:rsidRPr="00D03A86">
        <w:rPr>
          <w:rFonts w:eastAsia="Times New Roman"/>
          <w:color w:val="000000"/>
          <w:szCs w:val="24"/>
          <w:lang w:eastAsia="en-GB"/>
        </w:rPr>
        <w:t>:</w:t>
      </w:r>
    </w:p>
    <w:p w14:paraId="5F52A6B1" w14:textId="4D2EED0C" w:rsidR="0055117D" w:rsidRPr="00D03A86" w:rsidRDefault="0039325B" w:rsidP="00854397">
      <w:pPr>
        <w:pStyle w:val="ListParagraph"/>
        <w:spacing w:after="0" w:line="240" w:lineRule="auto"/>
        <w:ind w:left="567"/>
        <w:jc w:val="both"/>
        <w:rPr>
          <w:rFonts w:eastAsia="Times New Roman"/>
          <w:color w:val="000000"/>
          <w:szCs w:val="24"/>
          <w:lang w:eastAsia="en-GB"/>
        </w:rPr>
      </w:pPr>
      <w:r w:rsidRPr="00D03A86">
        <w:rPr>
          <w:rFonts w:eastAsia="Times New Roman"/>
          <w:color w:val="000000"/>
          <w:szCs w:val="24"/>
          <w:lang w:eastAsia="en-GB"/>
        </w:rPr>
        <w:t xml:space="preserve"> </w:t>
      </w:r>
    </w:p>
    <w:p w14:paraId="4AE327AD" w14:textId="676A8972" w:rsidR="007555CF" w:rsidRPr="00D03A86" w:rsidRDefault="007555CF" w:rsidP="00940136">
      <w:pPr>
        <w:pStyle w:val="ListParagraph"/>
        <w:numPr>
          <w:ilvl w:val="0"/>
          <w:numId w:val="34"/>
        </w:numPr>
        <w:spacing w:after="0" w:line="240" w:lineRule="auto"/>
        <w:ind w:left="1134" w:hanging="578"/>
        <w:jc w:val="both"/>
        <w:rPr>
          <w:rFonts w:eastAsia="Times New Roman"/>
          <w:color w:val="000000"/>
          <w:szCs w:val="24"/>
          <w:lang w:eastAsia="en-GB"/>
        </w:rPr>
      </w:pPr>
      <w:r w:rsidRPr="00D03A86">
        <w:rPr>
          <w:rFonts w:eastAsia="Times New Roman"/>
          <w:color w:val="000000"/>
          <w:szCs w:val="24"/>
          <w:lang w:eastAsia="en-GB"/>
        </w:rPr>
        <w:t>The case assessment includes review of individual/ family background, as well as interviews with parents, and home visits by the social worker.</w:t>
      </w:r>
    </w:p>
    <w:p w14:paraId="7D27D36B" w14:textId="77777777" w:rsidR="00BB1BA1" w:rsidRPr="00D03A86" w:rsidRDefault="00BB1BA1" w:rsidP="00940136">
      <w:pPr>
        <w:pStyle w:val="ListParagraph"/>
        <w:spacing w:after="0" w:line="240" w:lineRule="auto"/>
        <w:jc w:val="both"/>
        <w:rPr>
          <w:rFonts w:eastAsia="Times New Roman"/>
          <w:color w:val="000000"/>
          <w:szCs w:val="24"/>
          <w:lang w:eastAsia="en-GB"/>
        </w:rPr>
      </w:pPr>
    </w:p>
    <w:p w14:paraId="1777AC93" w14:textId="10F8D52E" w:rsidR="007555CF" w:rsidRPr="00D03A86" w:rsidRDefault="00430B02" w:rsidP="00940136">
      <w:pPr>
        <w:pStyle w:val="ListParagraph"/>
        <w:numPr>
          <w:ilvl w:val="0"/>
          <w:numId w:val="37"/>
        </w:numPr>
        <w:spacing w:after="0" w:line="240" w:lineRule="auto"/>
        <w:ind w:left="567" w:hanging="567"/>
        <w:jc w:val="both"/>
        <w:rPr>
          <w:rFonts w:eastAsia="Times New Roman"/>
          <w:color w:val="000000"/>
          <w:szCs w:val="24"/>
          <w:lang w:eastAsia="en-GB"/>
        </w:rPr>
      </w:pPr>
      <w:r w:rsidRPr="00D03A86">
        <w:rPr>
          <w:rFonts w:eastAsia="Times New Roman"/>
          <w:color w:val="000000"/>
          <w:szCs w:val="24"/>
          <w:lang w:eastAsia="en-GB"/>
        </w:rPr>
        <w:t>Psychological aspects, including emotional and cognitive profile</w:t>
      </w:r>
      <w:r w:rsidR="00CC5CF2" w:rsidRPr="00D03A86">
        <w:rPr>
          <w:rFonts w:eastAsia="Times New Roman"/>
          <w:color w:val="000000"/>
          <w:szCs w:val="24"/>
          <w:lang w:eastAsia="en-GB"/>
        </w:rPr>
        <w:t xml:space="preserve"> (Article 6)</w:t>
      </w:r>
      <w:r w:rsidR="00854397" w:rsidRPr="00D03A86">
        <w:rPr>
          <w:rFonts w:eastAsia="Times New Roman"/>
          <w:color w:val="000000"/>
          <w:szCs w:val="24"/>
          <w:lang w:eastAsia="en-GB"/>
        </w:rPr>
        <w:t>:</w:t>
      </w:r>
    </w:p>
    <w:p w14:paraId="351706C0" w14:textId="77777777" w:rsidR="00854397" w:rsidRPr="00D03A86" w:rsidRDefault="00854397" w:rsidP="00854397">
      <w:pPr>
        <w:pStyle w:val="ListParagraph"/>
        <w:spacing w:after="0" w:line="240" w:lineRule="auto"/>
        <w:ind w:left="567"/>
        <w:jc w:val="both"/>
        <w:rPr>
          <w:rFonts w:eastAsia="Times New Roman"/>
          <w:color w:val="000000"/>
          <w:szCs w:val="24"/>
          <w:lang w:eastAsia="en-GB"/>
        </w:rPr>
      </w:pPr>
    </w:p>
    <w:p w14:paraId="3F614ADA" w14:textId="49D24E3D" w:rsidR="008C16E8" w:rsidRPr="00D03A86" w:rsidRDefault="00430B02" w:rsidP="00940136">
      <w:pPr>
        <w:pStyle w:val="ListParagraph"/>
        <w:numPr>
          <w:ilvl w:val="0"/>
          <w:numId w:val="34"/>
        </w:numPr>
        <w:spacing w:after="0" w:line="240" w:lineRule="auto"/>
        <w:ind w:left="1134" w:hanging="578"/>
        <w:jc w:val="both"/>
        <w:rPr>
          <w:rFonts w:eastAsia="Times New Roman"/>
          <w:color w:val="000000"/>
          <w:szCs w:val="24"/>
          <w:lang w:eastAsia="en-GB"/>
        </w:rPr>
      </w:pPr>
      <w:r w:rsidRPr="00D03A86">
        <w:rPr>
          <w:rFonts w:eastAsia="Times New Roman"/>
          <w:color w:val="000000"/>
          <w:szCs w:val="24"/>
          <w:lang w:eastAsia="en-GB"/>
        </w:rPr>
        <w:t>The school psychologist systematically collects information through “specific psychological diagnostic criteria”</w:t>
      </w:r>
      <w:r w:rsidR="00854397" w:rsidRPr="00D03A86">
        <w:rPr>
          <w:rFonts w:eastAsia="Times New Roman"/>
          <w:color w:val="000000"/>
          <w:szCs w:val="24"/>
          <w:lang w:eastAsia="en-GB"/>
        </w:rPr>
        <w:t xml:space="preserve"> </w:t>
      </w:r>
      <w:r w:rsidRPr="00D03A86">
        <w:rPr>
          <w:rFonts w:eastAsia="Times New Roman"/>
          <w:color w:val="000000"/>
          <w:szCs w:val="24"/>
          <w:lang w:eastAsia="en-GB"/>
        </w:rPr>
        <w:t xml:space="preserve">and updates the pupil’s file with regards to difficulties and capabilities, behaviour and responses of the family and school environment towards the pupil. </w:t>
      </w:r>
    </w:p>
    <w:p w14:paraId="2A49DDD8" w14:textId="3D5673B4" w:rsidR="008C16E8" w:rsidRPr="00D03A86" w:rsidRDefault="008C16E8" w:rsidP="00940136">
      <w:pPr>
        <w:spacing w:after="0" w:line="240" w:lineRule="auto"/>
        <w:jc w:val="both"/>
        <w:rPr>
          <w:rFonts w:eastAsia="Times New Roman"/>
          <w:color w:val="000000"/>
          <w:szCs w:val="24"/>
          <w:lang w:eastAsia="en-GB"/>
        </w:rPr>
      </w:pPr>
    </w:p>
    <w:p w14:paraId="1BCC6715" w14:textId="77777777" w:rsidR="00D903F2" w:rsidRPr="00D03A86" w:rsidRDefault="00D903F2" w:rsidP="00940136">
      <w:pPr>
        <w:pStyle w:val="Heading3"/>
        <w:spacing w:before="0" w:line="240" w:lineRule="auto"/>
        <w:jc w:val="both"/>
        <w:rPr>
          <w:szCs w:val="24"/>
        </w:rPr>
      </w:pPr>
      <w:r w:rsidRPr="00D03A86">
        <w:rPr>
          <w:szCs w:val="24"/>
        </w:rPr>
        <w:t>Implementation and outcomes</w:t>
      </w:r>
    </w:p>
    <w:p w14:paraId="38A1A745" w14:textId="48623826" w:rsidR="00F8075D" w:rsidRPr="00D03A86" w:rsidRDefault="00F8075D" w:rsidP="00940136">
      <w:pPr>
        <w:spacing w:after="0" w:line="240" w:lineRule="auto"/>
      </w:pPr>
    </w:p>
    <w:p w14:paraId="794B4895" w14:textId="77777777" w:rsidR="00673C5E" w:rsidRPr="00D03A86" w:rsidRDefault="00673C5E" w:rsidP="00673C5E">
      <w:pPr>
        <w:spacing w:after="0" w:line="240" w:lineRule="auto"/>
        <w:jc w:val="both"/>
        <w:rPr>
          <w:i/>
          <w:color w:val="4F81BD" w:themeColor="accent1"/>
        </w:rPr>
      </w:pPr>
      <w:bookmarkStart w:id="18" w:name="_Hlk524097254"/>
      <w:r w:rsidRPr="00D03A86">
        <w:rPr>
          <w:i/>
          <w:color w:val="4F81BD" w:themeColor="accent1"/>
        </w:rPr>
        <w:t>Evidence of the practical implementation, including where possible the number of persons assessed, average waiting times and the assessment outcomes.</w:t>
      </w:r>
    </w:p>
    <w:bookmarkEnd w:id="18"/>
    <w:p w14:paraId="7B10DED8" w14:textId="77777777" w:rsidR="00673C5E" w:rsidRPr="00D03A86" w:rsidRDefault="00673C5E" w:rsidP="00940136">
      <w:pPr>
        <w:spacing w:after="0" w:line="240" w:lineRule="auto"/>
      </w:pPr>
    </w:p>
    <w:p w14:paraId="6ED0819B" w14:textId="77777777" w:rsidR="00D903F2" w:rsidRPr="00D03A86" w:rsidRDefault="00D903F2" w:rsidP="00940136">
      <w:pPr>
        <w:spacing w:after="0" w:line="240" w:lineRule="auto"/>
        <w:jc w:val="both"/>
        <w:rPr>
          <w:szCs w:val="24"/>
        </w:rPr>
      </w:pPr>
      <w:r w:rsidRPr="00D03A86">
        <w:rPr>
          <w:szCs w:val="24"/>
        </w:rPr>
        <w:t>Evidence of the practical implementation, including where possible the number of persons assessed, average waiting times and the assessment outcomes.</w:t>
      </w:r>
    </w:p>
    <w:p w14:paraId="11BF0C30" w14:textId="77777777" w:rsidR="006436B2" w:rsidRPr="00D03A86" w:rsidRDefault="006436B2" w:rsidP="00940136">
      <w:pPr>
        <w:spacing w:after="0" w:line="240" w:lineRule="auto"/>
        <w:jc w:val="both"/>
        <w:rPr>
          <w:szCs w:val="24"/>
        </w:rPr>
      </w:pPr>
    </w:p>
    <w:p w14:paraId="5DA60FB6" w14:textId="4655AB5D" w:rsidR="00D22EDE" w:rsidRPr="00D03A86" w:rsidRDefault="00D22EDE" w:rsidP="00940136">
      <w:pPr>
        <w:spacing w:after="0" w:line="240" w:lineRule="auto"/>
        <w:jc w:val="both"/>
        <w:rPr>
          <w:szCs w:val="24"/>
        </w:rPr>
      </w:pPr>
      <w:r w:rsidRPr="00D03A86">
        <w:rPr>
          <w:szCs w:val="24"/>
        </w:rPr>
        <w:lastRenderedPageBreak/>
        <w:t xml:space="preserve">The </w:t>
      </w:r>
      <w:r w:rsidR="003C513B" w:rsidRPr="00D03A86">
        <w:rPr>
          <w:szCs w:val="24"/>
        </w:rPr>
        <w:t xml:space="preserve">new </w:t>
      </w:r>
      <w:r w:rsidR="005D3AB8" w:rsidRPr="00D03A86">
        <w:rPr>
          <w:szCs w:val="24"/>
        </w:rPr>
        <w:t xml:space="preserve">coordinating structures </w:t>
      </w:r>
      <w:r w:rsidR="003C513B" w:rsidRPr="00D03A86">
        <w:rPr>
          <w:szCs w:val="24"/>
        </w:rPr>
        <w:t xml:space="preserve">have become operational </w:t>
      </w:r>
      <w:r w:rsidR="00243714" w:rsidRPr="00D03A86">
        <w:rPr>
          <w:szCs w:val="24"/>
        </w:rPr>
        <w:t xml:space="preserve">in the regions across Greece </w:t>
      </w:r>
      <w:r w:rsidR="003C513B" w:rsidRPr="00D03A86">
        <w:rPr>
          <w:szCs w:val="24"/>
        </w:rPr>
        <w:t>since October 2018</w:t>
      </w:r>
      <w:r w:rsidR="00362D3C" w:rsidRPr="00D03A86">
        <w:rPr>
          <w:szCs w:val="24"/>
        </w:rPr>
        <w:t>.</w:t>
      </w:r>
      <w:r w:rsidR="003C513B" w:rsidRPr="00D03A86">
        <w:rPr>
          <w:rStyle w:val="FootnoteReference"/>
          <w:szCs w:val="24"/>
        </w:rPr>
        <w:footnoteReference w:id="41"/>
      </w:r>
      <w:r w:rsidR="00243714" w:rsidRPr="00D03A86">
        <w:rPr>
          <w:szCs w:val="24"/>
        </w:rPr>
        <w:t xml:space="preserve"> </w:t>
      </w:r>
      <w:r w:rsidRPr="00D03A86">
        <w:rPr>
          <w:szCs w:val="24"/>
        </w:rPr>
        <w:t>For the purposes of a more in-depth analysis, contrasting the new</w:t>
      </w:r>
      <w:r w:rsidR="00F336EF" w:rsidRPr="00D03A86">
        <w:rPr>
          <w:szCs w:val="24"/>
        </w:rPr>
        <w:t xml:space="preserve">ly adopted </w:t>
      </w:r>
      <w:r w:rsidRPr="00D03A86">
        <w:rPr>
          <w:szCs w:val="24"/>
        </w:rPr>
        <w:t xml:space="preserve">method from </w:t>
      </w:r>
      <w:r w:rsidR="009B0203" w:rsidRPr="00D03A86">
        <w:rPr>
          <w:szCs w:val="24"/>
        </w:rPr>
        <w:t>what has applied so far</w:t>
      </w:r>
      <w:r w:rsidRPr="00D03A86">
        <w:rPr>
          <w:szCs w:val="24"/>
        </w:rPr>
        <w:t xml:space="preserve">, and </w:t>
      </w:r>
      <w:proofErr w:type="gramStart"/>
      <w:r w:rsidRPr="00D03A86">
        <w:rPr>
          <w:szCs w:val="24"/>
        </w:rPr>
        <w:t>in order to</w:t>
      </w:r>
      <w:proofErr w:type="gramEnd"/>
      <w:r w:rsidRPr="00D03A86">
        <w:rPr>
          <w:szCs w:val="24"/>
        </w:rPr>
        <w:t xml:space="preserve"> capture </w:t>
      </w:r>
      <w:r w:rsidR="00053C24" w:rsidRPr="00D03A86">
        <w:rPr>
          <w:szCs w:val="24"/>
        </w:rPr>
        <w:t>its promising elements</w:t>
      </w:r>
      <w:r w:rsidRPr="00D03A86">
        <w:rPr>
          <w:szCs w:val="24"/>
        </w:rPr>
        <w:t xml:space="preserve">, </w:t>
      </w:r>
      <w:r w:rsidR="009B0203" w:rsidRPr="00D03A86">
        <w:rPr>
          <w:b/>
          <w:szCs w:val="24"/>
        </w:rPr>
        <w:t xml:space="preserve">this section, as much as the section on “evaluation”, </w:t>
      </w:r>
      <w:r w:rsidRPr="00D03A86">
        <w:rPr>
          <w:b/>
          <w:szCs w:val="24"/>
        </w:rPr>
        <w:t>provide</w:t>
      </w:r>
      <w:r w:rsidR="003A637C" w:rsidRPr="00D03A86">
        <w:rPr>
          <w:b/>
          <w:szCs w:val="24"/>
        </w:rPr>
        <w:t>s</w:t>
      </w:r>
      <w:r w:rsidRPr="00D03A86">
        <w:rPr>
          <w:b/>
          <w:szCs w:val="24"/>
        </w:rPr>
        <w:t xml:space="preserve"> evi</w:t>
      </w:r>
      <w:r w:rsidR="00053C24" w:rsidRPr="00D03A86">
        <w:rPr>
          <w:b/>
          <w:szCs w:val="24"/>
        </w:rPr>
        <w:t xml:space="preserve">dence referring to </w:t>
      </w:r>
      <w:r w:rsidR="009B0203" w:rsidRPr="00D03A86">
        <w:rPr>
          <w:b/>
          <w:szCs w:val="24"/>
        </w:rPr>
        <w:t xml:space="preserve">practice </w:t>
      </w:r>
      <w:r w:rsidR="00F336EF" w:rsidRPr="00D03A86">
        <w:rPr>
          <w:b/>
          <w:szCs w:val="24"/>
        </w:rPr>
        <w:t>under the previous system for assessment and support</w:t>
      </w:r>
      <w:r w:rsidRPr="00D03A86">
        <w:rPr>
          <w:szCs w:val="24"/>
        </w:rPr>
        <w:t xml:space="preserve">. </w:t>
      </w:r>
    </w:p>
    <w:p w14:paraId="38EA4B82" w14:textId="77777777" w:rsidR="00D22EDE" w:rsidRPr="00D03A86" w:rsidRDefault="00D22EDE" w:rsidP="00940136">
      <w:pPr>
        <w:spacing w:after="0" w:line="240" w:lineRule="auto"/>
        <w:jc w:val="both"/>
        <w:rPr>
          <w:szCs w:val="24"/>
        </w:rPr>
      </w:pPr>
    </w:p>
    <w:p w14:paraId="7BFBFF6F" w14:textId="4F5CA148" w:rsidR="00D22EDE" w:rsidRPr="00D03A86" w:rsidRDefault="00D22EDE" w:rsidP="00940136">
      <w:pPr>
        <w:spacing w:after="0" w:line="240" w:lineRule="auto"/>
        <w:jc w:val="both"/>
        <w:rPr>
          <w:rFonts w:eastAsia="Times New Roman"/>
          <w:color w:val="000000"/>
          <w:szCs w:val="24"/>
          <w:lang w:eastAsia="en-GB"/>
        </w:rPr>
      </w:pPr>
      <w:r w:rsidRPr="00D03A86">
        <w:rPr>
          <w:szCs w:val="24"/>
        </w:rPr>
        <w:t xml:space="preserve">At the secondary level of assessment, the regional support structures </w:t>
      </w:r>
      <w:r w:rsidR="00A40978" w:rsidRPr="00D03A86">
        <w:rPr>
          <w:szCs w:val="24"/>
        </w:rPr>
        <w:t xml:space="preserve">KEDDY </w:t>
      </w:r>
      <w:r w:rsidRPr="00D03A86">
        <w:rPr>
          <w:szCs w:val="24"/>
        </w:rPr>
        <w:t>(</w:t>
      </w:r>
      <w:r w:rsidR="00134DBB" w:rsidRPr="00D03A86">
        <w:rPr>
          <w:szCs w:val="24"/>
        </w:rPr>
        <w:t>to be</w:t>
      </w:r>
      <w:r w:rsidR="00A84BB4" w:rsidRPr="00D03A86">
        <w:rPr>
          <w:szCs w:val="24"/>
        </w:rPr>
        <w:t xml:space="preserve"> </w:t>
      </w:r>
      <w:r w:rsidRPr="00D03A86">
        <w:rPr>
          <w:szCs w:val="24"/>
        </w:rPr>
        <w:t xml:space="preserve">reformed to KESY) </w:t>
      </w:r>
      <w:r w:rsidR="0090407D" w:rsidRPr="00D03A86">
        <w:rPr>
          <w:szCs w:val="24"/>
        </w:rPr>
        <w:t xml:space="preserve">have </w:t>
      </w:r>
      <w:r w:rsidRPr="00D03A86">
        <w:rPr>
          <w:szCs w:val="24"/>
        </w:rPr>
        <w:t xml:space="preserve">maintained as a key function the issuing of a diagnosis for referrals with learning difficulties by means of “differential diagnosis…aimed at eliminating conditions with similar symptoms arriving at a dominant diagnosis” (Law 3699/2008 Art. 1.5). No specific methodology </w:t>
      </w:r>
      <w:r w:rsidR="0090407D" w:rsidRPr="00D03A86">
        <w:rPr>
          <w:szCs w:val="24"/>
        </w:rPr>
        <w:t>was</w:t>
      </w:r>
      <w:r w:rsidR="00A84BB4" w:rsidRPr="00D03A86">
        <w:rPr>
          <w:szCs w:val="24"/>
        </w:rPr>
        <w:t xml:space="preserve"> </w:t>
      </w:r>
      <w:r w:rsidRPr="00D03A86">
        <w:rPr>
          <w:szCs w:val="24"/>
        </w:rPr>
        <w:t xml:space="preserve">included </w:t>
      </w:r>
      <w:r w:rsidR="0090407D" w:rsidRPr="00D03A86">
        <w:rPr>
          <w:szCs w:val="24"/>
        </w:rPr>
        <w:t xml:space="preserve">in Law 3699/2008 </w:t>
      </w:r>
      <w:r w:rsidRPr="00D03A86">
        <w:rPr>
          <w:szCs w:val="24"/>
        </w:rPr>
        <w:t>however (please see further discussion below).</w:t>
      </w:r>
      <w:r w:rsidRPr="00D03A86">
        <w:rPr>
          <w:rFonts w:eastAsia="Times New Roman"/>
          <w:color w:val="000000"/>
          <w:szCs w:val="24"/>
          <w:lang w:eastAsia="en-GB"/>
        </w:rPr>
        <w:t xml:space="preserve"> It is </w:t>
      </w:r>
      <w:r w:rsidRPr="00D03A86">
        <w:rPr>
          <w:szCs w:val="24"/>
        </w:rPr>
        <w:t>worth noting</w:t>
      </w:r>
      <w:r w:rsidR="00A84BB4" w:rsidRPr="00D03A86">
        <w:rPr>
          <w:szCs w:val="24"/>
        </w:rPr>
        <w:t xml:space="preserve"> </w:t>
      </w:r>
      <w:r w:rsidRPr="00D03A86">
        <w:rPr>
          <w:szCs w:val="24"/>
        </w:rPr>
        <w:t xml:space="preserve">that diagnostic certification in the cases of “sensory, mobility or other physical impairments, as well as severe or chronic illness” has always rested with the public health committees assigned with this role (Law 3699/2008 Art.5 par1). </w:t>
      </w:r>
    </w:p>
    <w:p w14:paraId="6293C28D" w14:textId="77777777" w:rsidR="00D22EDE" w:rsidRPr="00D03A86" w:rsidRDefault="00D22EDE" w:rsidP="00940136">
      <w:pPr>
        <w:spacing w:after="0" w:line="240" w:lineRule="auto"/>
        <w:jc w:val="both"/>
        <w:rPr>
          <w:szCs w:val="24"/>
        </w:rPr>
      </w:pPr>
    </w:p>
    <w:p w14:paraId="3C178129" w14:textId="0C3D50E3" w:rsidR="00384D70" w:rsidRPr="00D03A86" w:rsidRDefault="00BB6819" w:rsidP="00940136">
      <w:pPr>
        <w:spacing w:after="0" w:line="240" w:lineRule="auto"/>
        <w:jc w:val="both"/>
        <w:rPr>
          <w:szCs w:val="24"/>
        </w:rPr>
      </w:pPr>
      <w:r w:rsidRPr="00D03A86">
        <w:rPr>
          <w:szCs w:val="24"/>
        </w:rPr>
        <w:t>There is unfortunately very limited</w:t>
      </w:r>
      <w:r w:rsidR="009D12F0" w:rsidRPr="00D03A86">
        <w:rPr>
          <w:szCs w:val="24"/>
        </w:rPr>
        <w:t xml:space="preserve"> </w:t>
      </w:r>
      <w:r w:rsidR="00384D70" w:rsidRPr="00D03A86">
        <w:rPr>
          <w:szCs w:val="24"/>
        </w:rPr>
        <w:t>official d</w:t>
      </w:r>
      <w:r w:rsidR="00DC3A4B" w:rsidRPr="00D03A86">
        <w:rPr>
          <w:szCs w:val="24"/>
        </w:rPr>
        <w:t xml:space="preserve">ata or </w:t>
      </w:r>
      <w:r w:rsidRPr="00D03A86">
        <w:rPr>
          <w:szCs w:val="24"/>
        </w:rPr>
        <w:t xml:space="preserve">research </w:t>
      </w:r>
      <w:r w:rsidR="00DC3A4B" w:rsidRPr="00D03A86">
        <w:rPr>
          <w:szCs w:val="24"/>
        </w:rPr>
        <w:t>findings</w:t>
      </w:r>
      <w:r w:rsidRPr="00D03A86">
        <w:rPr>
          <w:szCs w:val="24"/>
        </w:rPr>
        <w:t xml:space="preserve"> available</w:t>
      </w:r>
      <w:r w:rsidR="009D12F0" w:rsidRPr="00D03A86">
        <w:rPr>
          <w:szCs w:val="24"/>
        </w:rPr>
        <w:t xml:space="preserve"> to evidence the implementation </w:t>
      </w:r>
      <w:r w:rsidR="00D03046" w:rsidRPr="00D03A86">
        <w:rPr>
          <w:szCs w:val="24"/>
        </w:rPr>
        <w:t xml:space="preserve">and outcomes </w:t>
      </w:r>
      <w:r w:rsidR="009D12F0" w:rsidRPr="00D03A86">
        <w:rPr>
          <w:szCs w:val="24"/>
        </w:rPr>
        <w:t xml:space="preserve">of the </w:t>
      </w:r>
      <w:r w:rsidR="00ED14E9" w:rsidRPr="00D03A86">
        <w:rPr>
          <w:szCs w:val="24"/>
        </w:rPr>
        <w:t xml:space="preserve">educational </w:t>
      </w:r>
      <w:r w:rsidR="009D12F0" w:rsidRPr="00D03A86">
        <w:rPr>
          <w:szCs w:val="24"/>
        </w:rPr>
        <w:t xml:space="preserve">assessment and support </w:t>
      </w:r>
      <w:r w:rsidR="00007D7D" w:rsidRPr="00D03A86">
        <w:rPr>
          <w:szCs w:val="24"/>
        </w:rPr>
        <w:t>processes</w:t>
      </w:r>
      <w:r w:rsidR="00A94DA4" w:rsidRPr="00D03A86">
        <w:rPr>
          <w:szCs w:val="24"/>
        </w:rPr>
        <w:t xml:space="preserve"> </w:t>
      </w:r>
      <w:r w:rsidR="0090407D" w:rsidRPr="00D03A86">
        <w:rPr>
          <w:szCs w:val="24"/>
        </w:rPr>
        <w:t xml:space="preserve">as they have operated </w:t>
      </w:r>
      <w:r w:rsidR="00A94DA4" w:rsidRPr="00D03A86">
        <w:rPr>
          <w:szCs w:val="24"/>
        </w:rPr>
        <w:t>so far</w:t>
      </w:r>
      <w:r w:rsidR="009D12F0" w:rsidRPr="00D03A86">
        <w:rPr>
          <w:szCs w:val="24"/>
        </w:rPr>
        <w:t>.</w:t>
      </w:r>
      <w:r w:rsidR="00355171" w:rsidRPr="00D03A86">
        <w:rPr>
          <w:szCs w:val="24"/>
        </w:rPr>
        <w:t xml:space="preserve"> </w:t>
      </w:r>
      <w:proofErr w:type="spellStart"/>
      <w:r w:rsidR="00355171" w:rsidRPr="00D03A86">
        <w:rPr>
          <w:szCs w:val="24"/>
        </w:rPr>
        <w:t>Eustathiou</w:t>
      </w:r>
      <w:proofErr w:type="spellEnd"/>
      <w:r w:rsidR="00355171" w:rsidRPr="00D03A86">
        <w:rPr>
          <w:szCs w:val="24"/>
        </w:rPr>
        <w:t xml:space="preserve"> (2016 p.1)</w:t>
      </w:r>
      <w:r w:rsidR="00B86522" w:rsidRPr="00D03A86">
        <w:rPr>
          <w:rStyle w:val="FootnoteReference"/>
          <w:szCs w:val="24"/>
        </w:rPr>
        <w:footnoteReference w:id="42"/>
      </w:r>
      <w:r w:rsidR="00355171" w:rsidRPr="00D03A86">
        <w:rPr>
          <w:szCs w:val="24"/>
        </w:rPr>
        <w:t xml:space="preserve"> similarly remarks that “despite their long presence, “there is no systematic record” of their operation in practice. </w:t>
      </w:r>
    </w:p>
    <w:p w14:paraId="2754DD12" w14:textId="77777777" w:rsidR="0055117D" w:rsidRPr="00D03A86" w:rsidRDefault="0055117D" w:rsidP="00940136">
      <w:pPr>
        <w:spacing w:after="0" w:line="240" w:lineRule="auto"/>
        <w:jc w:val="both"/>
        <w:rPr>
          <w:szCs w:val="24"/>
        </w:rPr>
      </w:pPr>
    </w:p>
    <w:p w14:paraId="3900E52F" w14:textId="7DB1D5C0" w:rsidR="00FA69C2" w:rsidRPr="00D03A86" w:rsidRDefault="00D06502" w:rsidP="00940136">
      <w:pPr>
        <w:spacing w:after="0" w:line="240" w:lineRule="auto"/>
        <w:jc w:val="both"/>
        <w:rPr>
          <w:szCs w:val="24"/>
        </w:rPr>
      </w:pPr>
      <w:r w:rsidRPr="00D03A86">
        <w:rPr>
          <w:szCs w:val="24"/>
        </w:rPr>
        <w:t xml:space="preserve">Special </w:t>
      </w:r>
      <w:r w:rsidR="00396D95" w:rsidRPr="00D03A86">
        <w:rPr>
          <w:szCs w:val="24"/>
        </w:rPr>
        <w:t>education</w:t>
      </w:r>
      <w:r w:rsidRPr="00D03A86">
        <w:rPr>
          <w:szCs w:val="24"/>
        </w:rPr>
        <w:t xml:space="preserve"> statistics</w:t>
      </w:r>
      <w:r w:rsidR="00396D95" w:rsidRPr="00D03A86">
        <w:rPr>
          <w:rStyle w:val="FootnoteReference"/>
          <w:szCs w:val="24"/>
        </w:rPr>
        <w:footnoteReference w:id="43"/>
      </w:r>
      <w:r w:rsidR="00EC7323" w:rsidRPr="00D03A86">
        <w:rPr>
          <w:szCs w:val="24"/>
        </w:rPr>
        <w:t xml:space="preserve"> monitor</w:t>
      </w:r>
      <w:r w:rsidR="00384709" w:rsidRPr="00D03A86">
        <w:rPr>
          <w:szCs w:val="24"/>
        </w:rPr>
        <w:t xml:space="preserve"> yearly</w:t>
      </w:r>
      <w:r w:rsidR="00396D95" w:rsidRPr="00D03A86">
        <w:rPr>
          <w:szCs w:val="24"/>
        </w:rPr>
        <w:t xml:space="preserve"> </w:t>
      </w:r>
      <w:r w:rsidR="00EC7323" w:rsidRPr="00D03A86">
        <w:rPr>
          <w:szCs w:val="24"/>
        </w:rPr>
        <w:t xml:space="preserve">the </w:t>
      </w:r>
      <w:r w:rsidR="00396D95" w:rsidRPr="00D03A86">
        <w:rPr>
          <w:szCs w:val="24"/>
        </w:rPr>
        <w:t xml:space="preserve">number of pupils </w:t>
      </w:r>
      <w:r w:rsidR="00A64CE2" w:rsidRPr="00D03A86">
        <w:rPr>
          <w:szCs w:val="24"/>
        </w:rPr>
        <w:t>atten</w:t>
      </w:r>
      <w:r w:rsidR="00EC7323" w:rsidRPr="00D03A86">
        <w:rPr>
          <w:szCs w:val="24"/>
        </w:rPr>
        <w:t>ding special education unit</w:t>
      </w:r>
      <w:r w:rsidR="00A64CE2" w:rsidRPr="00D03A86">
        <w:rPr>
          <w:szCs w:val="24"/>
        </w:rPr>
        <w:t>s</w:t>
      </w:r>
      <w:r w:rsidR="00EC7323" w:rsidRPr="00D03A86">
        <w:rPr>
          <w:szCs w:val="24"/>
        </w:rPr>
        <w:t>,</w:t>
      </w:r>
      <w:r w:rsidR="00A64CE2" w:rsidRPr="00D03A86">
        <w:rPr>
          <w:szCs w:val="24"/>
        </w:rPr>
        <w:t xml:space="preserve"> by type</w:t>
      </w:r>
      <w:r w:rsidR="00396D95" w:rsidRPr="00D03A86">
        <w:rPr>
          <w:szCs w:val="24"/>
        </w:rPr>
        <w:t xml:space="preserve"> of special educational needs</w:t>
      </w:r>
      <w:r w:rsidR="00EC7133" w:rsidRPr="00D03A86">
        <w:rPr>
          <w:szCs w:val="24"/>
        </w:rPr>
        <w:t xml:space="preserve">, and can provide a </w:t>
      </w:r>
      <w:r w:rsidR="00D307F3" w:rsidRPr="00D03A86">
        <w:rPr>
          <w:szCs w:val="24"/>
        </w:rPr>
        <w:t>sense</w:t>
      </w:r>
      <w:r w:rsidR="00747332" w:rsidRPr="00D03A86">
        <w:rPr>
          <w:szCs w:val="24"/>
        </w:rPr>
        <w:t xml:space="preserve"> </w:t>
      </w:r>
      <w:r w:rsidR="00DD4AD4" w:rsidRPr="00D03A86">
        <w:rPr>
          <w:szCs w:val="24"/>
        </w:rPr>
        <w:t>of</w:t>
      </w:r>
      <w:r w:rsidR="00D307F3" w:rsidRPr="00D03A86">
        <w:rPr>
          <w:szCs w:val="24"/>
        </w:rPr>
        <w:t xml:space="preserve"> the potential</w:t>
      </w:r>
      <w:r w:rsidR="00DD4AD4" w:rsidRPr="00D03A86">
        <w:rPr>
          <w:szCs w:val="24"/>
        </w:rPr>
        <w:t xml:space="preserve"> volume of </w:t>
      </w:r>
      <w:r w:rsidR="004D29AC" w:rsidRPr="00D03A86">
        <w:rPr>
          <w:szCs w:val="24"/>
        </w:rPr>
        <w:t xml:space="preserve">educational </w:t>
      </w:r>
      <w:r w:rsidR="00DD4AD4" w:rsidRPr="00D03A86">
        <w:rPr>
          <w:szCs w:val="24"/>
        </w:rPr>
        <w:t xml:space="preserve">assessments. </w:t>
      </w:r>
      <w:r w:rsidR="00341CC7" w:rsidRPr="00D03A86">
        <w:rPr>
          <w:szCs w:val="24"/>
        </w:rPr>
        <w:t>A total of 10,037 students with disabilities and/or special educational needs attended special education units in the school year 2015-2016</w:t>
      </w:r>
      <w:r w:rsidR="009B2A46" w:rsidRPr="00D03A86">
        <w:rPr>
          <w:szCs w:val="24"/>
        </w:rPr>
        <w:t>,</w:t>
      </w:r>
      <w:r w:rsidR="00242A83" w:rsidRPr="00D03A86">
        <w:rPr>
          <w:szCs w:val="24"/>
        </w:rPr>
        <w:t xml:space="preserve"> </w:t>
      </w:r>
      <w:r w:rsidR="00525F14" w:rsidRPr="00D03A86">
        <w:rPr>
          <w:szCs w:val="24"/>
        </w:rPr>
        <w:t>the educational needs of which related to</w:t>
      </w:r>
      <w:r w:rsidR="00940136" w:rsidRPr="00D03A86">
        <w:rPr>
          <w:szCs w:val="24"/>
        </w:rPr>
        <w:t>:</w:t>
      </w:r>
      <w:r w:rsidR="00525F14" w:rsidRPr="00D03A86">
        <w:rPr>
          <w:szCs w:val="24"/>
        </w:rPr>
        <w:t xml:space="preserve"> </w:t>
      </w:r>
    </w:p>
    <w:p w14:paraId="2A621B44" w14:textId="77777777" w:rsidR="0055117D" w:rsidRPr="00D03A86" w:rsidRDefault="0055117D" w:rsidP="00940136">
      <w:pPr>
        <w:spacing w:after="0" w:line="240" w:lineRule="auto"/>
        <w:jc w:val="both"/>
        <w:rPr>
          <w:szCs w:val="24"/>
        </w:rPr>
      </w:pPr>
    </w:p>
    <w:p w14:paraId="1D60669B" w14:textId="2BE56E5C" w:rsidR="00FA69C2" w:rsidRPr="00D03A86" w:rsidRDefault="00242A83" w:rsidP="00940136">
      <w:pPr>
        <w:pStyle w:val="ListParagraph"/>
        <w:numPr>
          <w:ilvl w:val="0"/>
          <w:numId w:val="34"/>
        </w:numPr>
        <w:spacing w:after="0" w:line="240" w:lineRule="auto"/>
        <w:ind w:left="567" w:hanging="567"/>
        <w:jc w:val="both"/>
        <w:rPr>
          <w:szCs w:val="24"/>
        </w:rPr>
      </w:pPr>
      <w:r w:rsidRPr="00D03A86">
        <w:rPr>
          <w:szCs w:val="24"/>
        </w:rPr>
        <w:t>intellectual impairment</w:t>
      </w:r>
      <w:r w:rsidR="009B2A46" w:rsidRPr="00D03A86">
        <w:rPr>
          <w:szCs w:val="24"/>
        </w:rPr>
        <w:t xml:space="preserve"> </w:t>
      </w:r>
      <w:r w:rsidR="00525F14" w:rsidRPr="00D03A86">
        <w:rPr>
          <w:szCs w:val="24"/>
        </w:rPr>
        <w:t>(3,727)</w:t>
      </w:r>
      <w:r w:rsidR="00940136" w:rsidRPr="00D03A86">
        <w:rPr>
          <w:szCs w:val="24"/>
        </w:rPr>
        <w:t>;</w:t>
      </w:r>
      <w:r w:rsidR="00525F14" w:rsidRPr="00D03A86">
        <w:rPr>
          <w:szCs w:val="24"/>
        </w:rPr>
        <w:t xml:space="preserve"> </w:t>
      </w:r>
    </w:p>
    <w:p w14:paraId="6BAA2E47" w14:textId="1BC79032" w:rsidR="00FA69C2" w:rsidRPr="00D03A86" w:rsidRDefault="00525F14" w:rsidP="00940136">
      <w:pPr>
        <w:pStyle w:val="ListParagraph"/>
        <w:numPr>
          <w:ilvl w:val="0"/>
          <w:numId w:val="34"/>
        </w:numPr>
        <w:spacing w:after="0" w:line="240" w:lineRule="auto"/>
        <w:ind w:left="567" w:hanging="567"/>
        <w:jc w:val="both"/>
        <w:rPr>
          <w:szCs w:val="24"/>
        </w:rPr>
      </w:pPr>
      <w:r w:rsidRPr="00D03A86">
        <w:rPr>
          <w:szCs w:val="24"/>
        </w:rPr>
        <w:t>autism (2,900)</w:t>
      </w:r>
      <w:r w:rsidR="00940136" w:rsidRPr="00D03A86">
        <w:rPr>
          <w:szCs w:val="24"/>
        </w:rPr>
        <w:t>;</w:t>
      </w:r>
      <w:r w:rsidRPr="00D03A86">
        <w:rPr>
          <w:szCs w:val="24"/>
        </w:rPr>
        <w:t xml:space="preserve"> </w:t>
      </w:r>
    </w:p>
    <w:p w14:paraId="1FE9DA9B" w14:textId="51F3A0A9" w:rsidR="00FA69C2" w:rsidRPr="00D03A86" w:rsidRDefault="00525F14" w:rsidP="00940136">
      <w:pPr>
        <w:pStyle w:val="ListParagraph"/>
        <w:numPr>
          <w:ilvl w:val="0"/>
          <w:numId w:val="34"/>
        </w:numPr>
        <w:spacing w:after="0" w:line="240" w:lineRule="auto"/>
        <w:ind w:left="567" w:hanging="567"/>
        <w:jc w:val="both"/>
        <w:rPr>
          <w:szCs w:val="24"/>
        </w:rPr>
      </w:pPr>
      <w:r w:rsidRPr="00D03A86">
        <w:rPr>
          <w:szCs w:val="24"/>
        </w:rPr>
        <w:t>multiple impairments (1,416)</w:t>
      </w:r>
      <w:r w:rsidR="00940136" w:rsidRPr="00D03A86">
        <w:rPr>
          <w:szCs w:val="24"/>
        </w:rPr>
        <w:t>;</w:t>
      </w:r>
      <w:r w:rsidRPr="00D03A86">
        <w:rPr>
          <w:szCs w:val="24"/>
        </w:rPr>
        <w:t xml:space="preserve"> </w:t>
      </w:r>
    </w:p>
    <w:p w14:paraId="5CF81547" w14:textId="0A674CB6" w:rsidR="00FA69C2" w:rsidRPr="00D03A86" w:rsidRDefault="00525F14" w:rsidP="00940136">
      <w:pPr>
        <w:pStyle w:val="ListParagraph"/>
        <w:numPr>
          <w:ilvl w:val="0"/>
          <w:numId w:val="34"/>
        </w:numPr>
        <w:spacing w:after="0" w:line="240" w:lineRule="auto"/>
        <w:ind w:left="567" w:hanging="567"/>
        <w:jc w:val="both"/>
        <w:rPr>
          <w:szCs w:val="24"/>
        </w:rPr>
      </w:pPr>
      <w:r w:rsidRPr="00D03A86">
        <w:rPr>
          <w:szCs w:val="24"/>
        </w:rPr>
        <w:t>psychosocial difficulties (569)</w:t>
      </w:r>
      <w:r w:rsidR="00940136" w:rsidRPr="00D03A86">
        <w:rPr>
          <w:szCs w:val="24"/>
        </w:rPr>
        <w:t>;</w:t>
      </w:r>
      <w:r w:rsidRPr="00D03A86">
        <w:rPr>
          <w:szCs w:val="24"/>
        </w:rPr>
        <w:t xml:space="preserve"> </w:t>
      </w:r>
    </w:p>
    <w:p w14:paraId="1CAB4BAE" w14:textId="37F6A960" w:rsidR="00FA69C2" w:rsidRPr="00D03A86" w:rsidRDefault="00525F14" w:rsidP="00940136">
      <w:pPr>
        <w:pStyle w:val="ListParagraph"/>
        <w:numPr>
          <w:ilvl w:val="0"/>
          <w:numId w:val="34"/>
        </w:numPr>
        <w:spacing w:after="0" w:line="240" w:lineRule="auto"/>
        <w:ind w:left="567" w:hanging="567"/>
        <w:jc w:val="both"/>
        <w:rPr>
          <w:szCs w:val="24"/>
        </w:rPr>
      </w:pPr>
      <w:r w:rsidRPr="00D03A86">
        <w:rPr>
          <w:szCs w:val="24"/>
        </w:rPr>
        <w:t>learning difficulties (492)</w:t>
      </w:r>
      <w:r w:rsidR="00940136" w:rsidRPr="00D03A86">
        <w:rPr>
          <w:szCs w:val="24"/>
        </w:rPr>
        <w:t>;</w:t>
      </w:r>
      <w:r w:rsidRPr="00D03A86">
        <w:rPr>
          <w:szCs w:val="24"/>
        </w:rPr>
        <w:t xml:space="preserve"> </w:t>
      </w:r>
    </w:p>
    <w:p w14:paraId="7BEB812D" w14:textId="0CCC97C1" w:rsidR="00FA69C2" w:rsidRPr="00D03A86" w:rsidRDefault="00525F14" w:rsidP="00940136">
      <w:pPr>
        <w:pStyle w:val="ListParagraph"/>
        <w:numPr>
          <w:ilvl w:val="0"/>
          <w:numId w:val="34"/>
        </w:numPr>
        <w:spacing w:after="0" w:line="240" w:lineRule="auto"/>
        <w:ind w:left="567" w:hanging="567"/>
        <w:jc w:val="both"/>
        <w:rPr>
          <w:szCs w:val="24"/>
        </w:rPr>
      </w:pPr>
      <w:r w:rsidRPr="00D03A86">
        <w:rPr>
          <w:szCs w:val="24"/>
        </w:rPr>
        <w:t>mobility impairments (415)</w:t>
      </w:r>
      <w:r w:rsidR="00940136" w:rsidRPr="00D03A86">
        <w:rPr>
          <w:szCs w:val="24"/>
        </w:rPr>
        <w:t>;</w:t>
      </w:r>
      <w:r w:rsidR="00A2712E" w:rsidRPr="00D03A86">
        <w:rPr>
          <w:szCs w:val="24"/>
        </w:rPr>
        <w:t xml:space="preserve"> </w:t>
      </w:r>
    </w:p>
    <w:p w14:paraId="6E121EA7" w14:textId="1FE66C5B" w:rsidR="00FA69C2" w:rsidRPr="00D03A86" w:rsidRDefault="00A2712E" w:rsidP="00940136">
      <w:pPr>
        <w:pStyle w:val="ListParagraph"/>
        <w:numPr>
          <w:ilvl w:val="0"/>
          <w:numId w:val="34"/>
        </w:numPr>
        <w:spacing w:after="0" w:line="240" w:lineRule="auto"/>
        <w:ind w:left="567" w:hanging="567"/>
        <w:jc w:val="both"/>
        <w:rPr>
          <w:szCs w:val="24"/>
        </w:rPr>
      </w:pPr>
      <w:r w:rsidRPr="00D03A86">
        <w:rPr>
          <w:szCs w:val="24"/>
        </w:rPr>
        <w:t>hearing impairments (320)</w:t>
      </w:r>
      <w:r w:rsidR="00940136" w:rsidRPr="00D03A86">
        <w:rPr>
          <w:szCs w:val="24"/>
        </w:rPr>
        <w:t>;</w:t>
      </w:r>
      <w:r w:rsidR="00FA69C2" w:rsidRPr="00D03A86">
        <w:rPr>
          <w:szCs w:val="24"/>
        </w:rPr>
        <w:t xml:space="preserve"> </w:t>
      </w:r>
    </w:p>
    <w:p w14:paraId="650EC92D" w14:textId="65D79D19" w:rsidR="00242A83" w:rsidRPr="00D03A86" w:rsidRDefault="00FA69C2" w:rsidP="00940136">
      <w:pPr>
        <w:pStyle w:val="ListParagraph"/>
        <w:numPr>
          <w:ilvl w:val="0"/>
          <w:numId w:val="34"/>
        </w:numPr>
        <w:spacing w:after="0" w:line="240" w:lineRule="auto"/>
        <w:ind w:left="567" w:hanging="567"/>
        <w:jc w:val="both"/>
        <w:rPr>
          <w:szCs w:val="24"/>
        </w:rPr>
      </w:pPr>
      <w:r w:rsidRPr="00D03A86">
        <w:rPr>
          <w:szCs w:val="24"/>
        </w:rPr>
        <w:t>visual impairments (103)</w:t>
      </w:r>
      <w:r w:rsidR="00940136" w:rsidRPr="00D03A86">
        <w:rPr>
          <w:szCs w:val="24"/>
        </w:rPr>
        <w:t>;</w:t>
      </w:r>
    </w:p>
    <w:p w14:paraId="7D894FC1" w14:textId="31451206" w:rsidR="00213A7B" w:rsidRPr="00D03A86" w:rsidRDefault="00F60246" w:rsidP="00940136">
      <w:pPr>
        <w:pStyle w:val="ListParagraph"/>
        <w:numPr>
          <w:ilvl w:val="0"/>
          <w:numId w:val="34"/>
        </w:numPr>
        <w:spacing w:after="0" w:line="240" w:lineRule="auto"/>
        <w:ind w:left="567" w:hanging="567"/>
        <w:jc w:val="both"/>
        <w:rPr>
          <w:szCs w:val="24"/>
        </w:rPr>
      </w:pPr>
      <w:r w:rsidRPr="00D03A86">
        <w:rPr>
          <w:szCs w:val="24"/>
        </w:rPr>
        <w:t>High-functioning and Attention Deficit Disorder (95)</w:t>
      </w:r>
      <w:r w:rsidR="00940136" w:rsidRPr="00D03A86">
        <w:rPr>
          <w:szCs w:val="24"/>
        </w:rPr>
        <w:t>.</w:t>
      </w:r>
    </w:p>
    <w:p w14:paraId="41D14CDE" w14:textId="77777777" w:rsidR="00940136" w:rsidRPr="00D03A86" w:rsidRDefault="00940136" w:rsidP="0055117D">
      <w:pPr>
        <w:spacing w:after="0" w:line="240" w:lineRule="auto"/>
        <w:jc w:val="both"/>
        <w:rPr>
          <w:szCs w:val="24"/>
        </w:rPr>
      </w:pPr>
    </w:p>
    <w:p w14:paraId="44971F83" w14:textId="6FEAC856" w:rsidR="00EC7323" w:rsidRPr="00D03A86" w:rsidRDefault="00070139" w:rsidP="00940136">
      <w:pPr>
        <w:spacing w:after="0" w:line="240" w:lineRule="auto"/>
        <w:jc w:val="both"/>
        <w:rPr>
          <w:szCs w:val="24"/>
        </w:rPr>
      </w:pPr>
      <w:r w:rsidRPr="00D03A86">
        <w:rPr>
          <w:szCs w:val="24"/>
        </w:rPr>
        <w:t>Attendance at</w:t>
      </w:r>
      <w:r w:rsidR="00022B98" w:rsidRPr="00D03A86">
        <w:rPr>
          <w:szCs w:val="24"/>
        </w:rPr>
        <w:t xml:space="preserve"> special education</w:t>
      </w:r>
      <w:r w:rsidRPr="00D03A86">
        <w:rPr>
          <w:szCs w:val="24"/>
        </w:rPr>
        <w:t xml:space="preserve"> units</w:t>
      </w:r>
      <w:r w:rsidR="00022B98" w:rsidRPr="00D03A86">
        <w:rPr>
          <w:szCs w:val="24"/>
        </w:rPr>
        <w:t xml:space="preserve"> </w:t>
      </w:r>
      <w:r w:rsidR="00EC7323" w:rsidRPr="00D03A86">
        <w:rPr>
          <w:szCs w:val="24"/>
        </w:rPr>
        <w:t xml:space="preserve">is </w:t>
      </w:r>
      <w:r w:rsidR="009B2A46" w:rsidRPr="00D03A86">
        <w:rPr>
          <w:szCs w:val="24"/>
        </w:rPr>
        <w:t xml:space="preserve">however </w:t>
      </w:r>
      <w:r w:rsidR="000B7235" w:rsidRPr="00D03A86">
        <w:rPr>
          <w:szCs w:val="24"/>
        </w:rPr>
        <w:t>one of several</w:t>
      </w:r>
      <w:r w:rsidR="00EC7323" w:rsidRPr="00D03A86">
        <w:rPr>
          <w:szCs w:val="24"/>
        </w:rPr>
        <w:t xml:space="preserve"> possible outcomes of the educational </w:t>
      </w:r>
      <w:r w:rsidR="00CE56C0" w:rsidRPr="00D03A86">
        <w:rPr>
          <w:szCs w:val="24"/>
        </w:rPr>
        <w:t xml:space="preserve">needs </w:t>
      </w:r>
      <w:r w:rsidR="00EC7323" w:rsidRPr="00D03A86">
        <w:rPr>
          <w:szCs w:val="24"/>
        </w:rPr>
        <w:t>assessment and support procedures</w:t>
      </w:r>
      <w:r w:rsidR="00022B98" w:rsidRPr="00D03A86">
        <w:rPr>
          <w:szCs w:val="24"/>
        </w:rPr>
        <w:t xml:space="preserve">. </w:t>
      </w:r>
      <w:r w:rsidR="00AA3988" w:rsidRPr="00D03A86">
        <w:rPr>
          <w:szCs w:val="24"/>
        </w:rPr>
        <w:t>A</w:t>
      </w:r>
      <w:r w:rsidR="00022B98" w:rsidRPr="00D03A86">
        <w:rPr>
          <w:szCs w:val="24"/>
        </w:rPr>
        <w:t xml:space="preserve"> </w:t>
      </w:r>
      <w:r w:rsidR="004D29AC" w:rsidRPr="00D03A86">
        <w:rPr>
          <w:szCs w:val="24"/>
        </w:rPr>
        <w:t>comprehensive</w:t>
      </w:r>
      <w:r w:rsidR="00AA3988" w:rsidRPr="00D03A86">
        <w:rPr>
          <w:szCs w:val="24"/>
        </w:rPr>
        <w:t xml:space="preserve"> </w:t>
      </w:r>
      <w:r w:rsidR="000B7235" w:rsidRPr="00D03A86">
        <w:rPr>
          <w:szCs w:val="24"/>
        </w:rPr>
        <w:t>mapping</w:t>
      </w:r>
      <w:r w:rsidR="00022B98" w:rsidRPr="00D03A86">
        <w:rPr>
          <w:szCs w:val="24"/>
        </w:rPr>
        <w:t xml:space="preserve"> </w:t>
      </w:r>
      <w:r w:rsidR="000B7235" w:rsidRPr="00D03A86">
        <w:rPr>
          <w:szCs w:val="24"/>
        </w:rPr>
        <w:t>of outcomes sh</w:t>
      </w:r>
      <w:r w:rsidR="00AA3988" w:rsidRPr="00D03A86">
        <w:rPr>
          <w:szCs w:val="24"/>
        </w:rPr>
        <w:t xml:space="preserve">ould also include </w:t>
      </w:r>
      <w:r w:rsidR="004D29AC" w:rsidRPr="00D03A86">
        <w:rPr>
          <w:szCs w:val="24"/>
        </w:rPr>
        <w:t xml:space="preserve">the number and kind of </w:t>
      </w:r>
      <w:r w:rsidR="00022B98" w:rsidRPr="00D03A86">
        <w:rPr>
          <w:szCs w:val="24"/>
        </w:rPr>
        <w:t>s</w:t>
      </w:r>
      <w:r w:rsidR="009B2A46" w:rsidRPr="00D03A86">
        <w:rPr>
          <w:szCs w:val="24"/>
        </w:rPr>
        <w:t>upport interventions in mainstream education</w:t>
      </w:r>
      <w:r w:rsidR="00AA3988" w:rsidRPr="00D03A86">
        <w:rPr>
          <w:szCs w:val="24"/>
        </w:rPr>
        <w:t xml:space="preserve"> (Individual</w:t>
      </w:r>
      <w:r w:rsidR="00E25A7F" w:rsidRPr="00D03A86">
        <w:rPr>
          <w:szCs w:val="24"/>
        </w:rPr>
        <w:t>ised Education Plan</w:t>
      </w:r>
      <w:r w:rsidRPr="00D03A86">
        <w:rPr>
          <w:szCs w:val="24"/>
        </w:rPr>
        <w:t>s</w:t>
      </w:r>
      <w:r w:rsidR="00E25A7F" w:rsidRPr="00D03A86">
        <w:rPr>
          <w:szCs w:val="24"/>
        </w:rPr>
        <w:t xml:space="preserve">), and it would be interesting </w:t>
      </w:r>
      <w:r w:rsidR="00E25A7F" w:rsidRPr="00D03A86">
        <w:rPr>
          <w:szCs w:val="24"/>
        </w:rPr>
        <w:lastRenderedPageBreak/>
        <w:t>to compare</w:t>
      </w:r>
      <w:r w:rsidR="00022B98" w:rsidRPr="00D03A86">
        <w:rPr>
          <w:szCs w:val="24"/>
        </w:rPr>
        <w:t xml:space="preserve"> </w:t>
      </w:r>
      <w:r w:rsidR="00E25A7F" w:rsidRPr="00D03A86">
        <w:rPr>
          <w:szCs w:val="24"/>
        </w:rPr>
        <w:t>outcomes on the basis of impairment across</w:t>
      </w:r>
      <w:r w:rsidR="00A2712E" w:rsidRPr="00D03A86">
        <w:rPr>
          <w:szCs w:val="24"/>
        </w:rPr>
        <w:t xml:space="preserve"> special education and inclusive education</w:t>
      </w:r>
      <w:r w:rsidR="00E25A7F" w:rsidRPr="00D03A86">
        <w:rPr>
          <w:szCs w:val="24"/>
        </w:rPr>
        <w:t>.</w:t>
      </w:r>
    </w:p>
    <w:p w14:paraId="1D148574" w14:textId="77777777" w:rsidR="0055117D" w:rsidRPr="00D03A86" w:rsidRDefault="0055117D" w:rsidP="00940136">
      <w:pPr>
        <w:spacing w:after="0" w:line="240" w:lineRule="auto"/>
        <w:jc w:val="both"/>
        <w:rPr>
          <w:szCs w:val="24"/>
        </w:rPr>
      </w:pPr>
    </w:p>
    <w:p w14:paraId="6F6F4977" w14:textId="5252DA08" w:rsidR="00816A92" w:rsidRPr="00D03A86" w:rsidRDefault="00816A92" w:rsidP="00940136">
      <w:pPr>
        <w:spacing w:after="0" w:line="240" w:lineRule="auto"/>
        <w:jc w:val="both"/>
        <w:rPr>
          <w:szCs w:val="24"/>
        </w:rPr>
      </w:pPr>
      <w:r w:rsidRPr="00D03A86">
        <w:rPr>
          <w:szCs w:val="24"/>
        </w:rPr>
        <w:t xml:space="preserve">More insights are </w:t>
      </w:r>
      <w:r w:rsidR="003A637C" w:rsidRPr="00D03A86">
        <w:rPr>
          <w:szCs w:val="24"/>
        </w:rPr>
        <w:t xml:space="preserve">of the existing system </w:t>
      </w:r>
      <w:r w:rsidRPr="00D03A86">
        <w:rPr>
          <w:szCs w:val="24"/>
        </w:rPr>
        <w:t>available through one qualitative study (</w:t>
      </w:r>
      <w:proofErr w:type="spellStart"/>
      <w:r w:rsidRPr="00D03A86">
        <w:rPr>
          <w:szCs w:val="24"/>
        </w:rPr>
        <w:t>Papatrecha</w:t>
      </w:r>
      <w:proofErr w:type="spellEnd"/>
      <w:r w:rsidRPr="00D03A86">
        <w:rPr>
          <w:szCs w:val="24"/>
        </w:rPr>
        <w:t xml:space="preserve"> et al 2013)</w:t>
      </w:r>
      <w:r w:rsidRPr="00D03A86">
        <w:rPr>
          <w:rStyle w:val="FootnoteReference"/>
          <w:szCs w:val="24"/>
        </w:rPr>
        <w:footnoteReference w:id="44"/>
      </w:r>
      <w:r w:rsidRPr="00D03A86">
        <w:rPr>
          <w:szCs w:val="24"/>
        </w:rPr>
        <w:t xml:space="preserve"> which outlined the key difficulties in the implementation of diagnostic assessment in the case of Autistic Spectrum Disorders from the perspective of professionals involved in the process, at the former secondary level structure (KEDDY). These concerned namely “the validity and responsiveness of the diagnostic process, the difficulties responding to an increasing number of cases, the effective involvement of parents in the assessment process, the choice of a suitable school environment and the significance of drafting the IEP” (</w:t>
      </w:r>
      <w:proofErr w:type="spellStart"/>
      <w:r w:rsidRPr="00D03A86">
        <w:rPr>
          <w:szCs w:val="24"/>
        </w:rPr>
        <w:t>Papatrecha</w:t>
      </w:r>
      <w:proofErr w:type="spellEnd"/>
      <w:r w:rsidRPr="00D03A86">
        <w:rPr>
          <w:szCs w:val="24"/>
        </w:rPr>
        <w:t xml:space="preserve"> et</w:t>
      </w:r>
      <w:r w:rsidR="00F8075D" w:rsidRPr="00D03A86">
        <w:rPr>
          <w:szCs w:val="24"/>
        </w:rPr>
        <w:t xml:space="preserve"> al. 2013, p. 141).</w:t>
      </w:r>
    </w:p>
    <w:p w14:paraId="4F835812" w14:textId="77777777" w:rsidR="00F8075D" w:rsidRPr="00D03A86" w:rsidRDefault="00F8075D" w:rsidP="00940136">
      <w:pPr>
        <w:spacing w:after="0" w:line="240" w:lineRule="auto"/>
        <w:jc w:val="both"/>
        <w:rPr>
          <w:szCs w:val="24"/>
        </w:rPr>
      </w:pPr>
    </w:p>
    <w:p w14:paraId="1B625A96" w14:textId="7CD68B58" w:rsidR="00816A92" w:rsidRPr="00D03A86" w:rsidRDefault="00816A92" w:rsidP="00940136">
      <w:pPr>
        <w:spacing w:after="0" w:line="240" w:lineRule="auto"/>
        <w:jc w:val="both"/>
        <w:rPr>
          <w:szCs w:val="24"/>
        </w:rPr>
      </w:pPr>
      <w:r w:rsidRPr="00D03A86">
        <w:rPr>
          <w:szCs w:val="24"/>
        </w:rPr>
        <w:t xml:space="preserve">What particularly becomes evident from the accounts of the professionals, is the </w:t>
      </w:r>
      <w:r w:rsidR="00D7135A" w:rsidRPr="00D03A86">
        <w:rPr>
          <w:szCs w:val="24"/>
        </w:rPr>
        <w:t>“</w:t>
      </w:r>
      <w:r w:rsidRPr="00D03A86">
        <w:rPr>
          <w:szCs w:val="24"/>
        </w:rPr>
        <w:t>limited availability and adequacy of assessment tools</w:t>
      </w:r>
      <w:r w:rsidR="00D7135A" w:rsidRPr="00D03A86">
        <w:rPr>
          <w:szCs w:val="24"/>
        </w:rPr>
        <w:t>”</w:t>
      </w:r>
      <w:r w:rsidRPr="00D03A86">
        <w:rPr>
          <w:szCs w:val="24"/>
        </w:rPr>
        <w:t xml:space="preserve"> as well as the lack of specialised training offered by the public service for conducting the assessment (</w:t>
      </w:r>
      <w:proofErr w:type="spellStart"/>
      <w:r w:rsidRPr="00D03A86">
        <w:rPr>
          <w:szCs w:val="24"/>
        </w:rPr>
        <w:t>Papatrecha</w:t>
      </w:r>
      <w:proofErr w:type="spellEnd"/>
      <w:r w:rsidRPr="00D03A86">
        <w:rPr>
          <w:szCs w:val="24"/>
        </w:rPr>
        <w:t xml:space="preserve"> et al. 2013, p. 140). Professional judgement and experienc</w:t>
      </w:r>
      <w:r w:rsidR="004E0D89" w:rsidRPr="00D03A86">
        <w:rPr>
          <w:szCs w:val="24"/>
        </w:rPr>
        <w:t>e seems in this respect to be a key implementing tool on its own</w:t>
      </w:r>
      <w:r w:rsidRPr="00D03A86">
        <w:rPr>
          <w:szCs w:val="24"/>
        </w:rPr>
        <w:t xml:space="preserve"> in the assessment process.</w:t>
      </w:r>
    </w:p>
    <w:p w14:paraId="4DACA2E2" w14:textId="77777777" w:rsidR="00F8075D" w:rsidRPr="00D03A86" w:rsidRDefault="00F8075D" w:rsidP="00940136">
      <w:pPr>
        <w:spacing w:after="0" w:line="240" w:lineRule="auto"/>
        <w:jc w:val="both"/>
        <w:rPr>
          <w:szCs w:val="24"/>
        </w:rPr>
      </w:pPr>
    </w:p>
    <w:p w14:paraId="02610213" w14:textId="38789C39" w:rsidR="009D12F0" w:rsidRPr="00D03A86" w:rsidRDefault="0069502D" w:rsidP="00940136">
      <w:pPr>
        <w:spacing w:after="0" w:line="240" w:lineRule="auto"/>
        <w:jc w:val="both"/>
        <w:rPr>
          <w:szCs w:val="24"/>
        </w:rPr>
      </w:pPr>
      <w:r w:rsidRPr="00D03A86">
        <w:rPr>
          <w:szCs w:val="24"/>
        </w:rPr>
        <w:t xml:space="preserve">Another key element </w:t>
      </w:r>
      <w:r w:rsidR="00070139" w:rsidRPr="00D03A86">
        <w:rPr>
          <w:szCs w:val="24"/>
        </w:rPr>
        <w:t>of</w:t>
      </w:r>
      <w:r w:rsidRPr="00D03A86">
        <w:rPr>
          <w:szCs w:val="24"/>
        </w:rPr>
        <w:t xml:space="preserve"> </w:t>
      </w:r>
      <w:r w:rsidR="00070139" w:rsidRPr="00D03A86">
        <w:rPr>
          <w:szCs w:val="24"/>
        </w:rPr>
        <w:t xml:space="preserve">the assessment </w:t>
      </w:r>
      <w:r w:rsidR="00D7135A" w:rsidRPr="00D03A86">
        <w:rPr>
          <w:szCs w:val="24"/>
        </w:rPr>
        <w:t>process</w:t>
      </w:r>
      <w:r w:rsidRPr="00D03A86">
        <w:rPr>
          <w:szCs w:val="24"/>
        </w:rPr>
        <w:t xml:space="preserve"> </w:t>
      </w:r>
      <w:r w:rsidR="007B042D" w:rsidRPr="00D03A86">
        <w:rPr>
          <w:szCs w:val="24"/>
        </w:rPr>
        <w:t>is</w:t>
      </w:r>
      <w:r w:rsidR="00070139" w:rsidRPr="00D03A86">
        <w:rPr>
          <w:szCs w:val="24"/>
        </w:rPr>
        <w:t xml:space="preserve"> </w:t>
      </w:r>
      <w:r w:rsidR="007B042D" w:rsidRPr="00D03A86">
        <w:rPr>
          <w:szCs w:val="24"/>
        </w:rPr>
        <w:t xml:space="preserve">cooperation with </w:t>
      </w:r>
      <w:r w:rsidR="00070139" w:rsidRPr="00D03A86">
        <w:rPr>
          <w:szCs w:val="24"/>
        </w:rPr>
        <w:t xml:space="preserve">parents </w:t>
      </w:r>
      <w:r w:rsidRPr="00D03A86">
        <w:rPr>
          <w:szCs w:val="24"/>
        </w:rPr>
        <w:t>(</w:t>
      </w:r>
      <w:proofErr w:type="spellStart"/>
      <w:r w:rsidRPr="00D03A86">
        <w:rPr>
          <w:szCs w:val="24"/>
        </w:rPr>
        <w:t>Papatrecha</w:t>
      </w:r>
      <w:proofErr w:type="spellEnd"/>
      <w:r w:rsidRPr="00D03A86">
        <w:rPr>
          <w:szCs w:val="24"/>
        </w:rPr>
        <w:t xml:space="preserve"> et al. 2013)</w:t>
      </w:r>
      <w:r w:rsidR="007B042D" w:rsidRPr="00D03A86">
        <w:rPr>
          <w:szCs w:val="24"/>
        </w:rPr>
        <w:t>.</w:t>
      </w:r>
      <w:r w:rsidRPr="00D03A86">
        <w:rPr>
          <w:szCs w:val="24"/>
        </w:rPr>
        <w:t xml:space="preserve"> </w:t>
      </w:r>
      <w:r w:rsidR="00DF4C2D" w:rsidRPr="00D03A86">
        <w:rPr>
          <w:szCs w:val="24"/>
        </w:rPr>
        <w:t>Despite limited evidence o</w:t>
      </w:r>
      <w:r w:rsidR="00F5656F" w:rsidRPr="00D03A86">
        <w:rPr>
          <w:szCs w:val="24"/>
        </w:rPr>
        <w:t xml:space="preserve">n how this has worked in practice, it is worth noting here that </w:t>
      </w:r>
      <w:r w:rsidR="006927A4" w:rsidRPr="00D03A86">
        <w:rPr>
          <w:szCs w:val="24"/>
        </w:rPr>
        <w:t xml:space="preserve">according to </w:t>
      </w:r>
      <w:r w:rsidR="00F5656F" w:rsidRPr="00D03A86">
        <w:rPr>
          <w:szCs w:val="24"/>
        </w:rPr>
        <w:t xml:space="preserve">relevant </w:t>
      </w:r>
      <w:r w:rsidR="006927A4" w:rsidRPr="00D03A86">
        <w:rPr>
          <w:szCs w:val="24"/>
        </w:rPr>
        <w:t>regulation</w:t>
      </w:r>
      <w:r w:rsidR="00F5656F" w:rsidRPr="00D03A86">
        <w:rPr>
          <w:szCs w:val="24"/>
        </w:rPr>
        <w:t xml:space="preserve"> </w:t>
      </w:r>
      <w:r w:rsidR="006927A4" w:rsidRPr="00D03A86">
        <w:rPr>
          <w:szCs w:val="24"/>
        </w:rPr>
        <w:t xml:space="preserve">that has applied </w:t>
      </w:r>
      <w:r w:rsidR="00F5656F" w:rsidRPr="00D03A86">
        <w:rPr>
          <w:szCs w:val="24"/>
        </w:rPr>
        <w:t xml:space="preserve">so far </w:t>
      </w:r>
      <w:r w:rsidR="009024A2" w:rsidRPr="00D03A86">
        <w:rPr>
          <w:szCs w:val="24"/>
        </w:rPr>
        <w:t>"the opinion of the parent is not binding" and no appeal process</w:t>
      </w:r>
      <w:r w:rsidR="00A85D49" w:rsidRPr="00D03A86">
        <w:rPr>
          <w:szCs w:val="24"/>
        </w:rPr>
        <w:t xml:space="preserve"> had been</w:t>
      </w:r>
      <w:r w:rsidR="009024A2" w:rsidRPr="00D03A86">
        <w:rPr>
          <w:szCs w:val="24"/>
        </w:rPr>
        <w:t xml:space="preserve"> foreseen in the process of diagnostic assessment (Law 3699/2008, Art. 5). </w:t>
      </w:r>
      <w:r w:rsidR="00D6061C" w:rsidRPr="00D03A86">
        <w:rPr>
          <w:szCs w:val="24"/>
        </w:rPr>
        <w:t>I</w:t>
      </w:r>
      <w:r w:rsidR="009024A2" w:rsidRPr="00D03A86">
        <w:rPr>
          <w:szCs w:val="24"/>
        </w:rPr>
        <w:t xml:space="preserve">n the event that parents wish not to follow the recommendations </w:t>
      </w:r>
      <w:r w:rsidR="00070139" w:rsidRPr="00D03A86">
        <w:rPr>
          <w:szCs w:val="24"/>
        </w:rPr>
        <w:t>based on</w:t>
      </w:r>
      <w:r w:rsidR="009024A2" w:rsidRPr="00D03A86">
        <w:rPr>
          <w:szCs w:val="24"/>
        </w:rPr>
        <w:t xml:space="preserve"> the assessment, for instance enrol a disabled pupil in mainstream school when it has been indicated that a special school would be more suitable, the Ministry of Education has stated that the parent’s choice and preference is final, but it is clarified that in these cases a disabled child is not necessarily entitled to equivalent support (Case No 204969/2015 quoted in the Ombudsman’s Report on Education (2016, p. 86)</w:t>
      </w:r>
      <w:r w:rsidR="00F8075D" w:rsidRPr="00D03A86">
        <w:rPr>
          <w:szCs w:val="24"/>
        </w:rPr>
        <w:t>.</w:t>
      </w:r>
      <w:r w:rsidR="00CC2A11" w:rsidRPr="00D03A86">
        <w:rPr>
          <w:rStyle w:val="FootnoteReference"/>
          <w:szCs w:val="24"/>
        </w:rPr>
        <w:footnoteReference w:id="45"/>
      </w:r>
    </w:p>
    <w:p w14:paraId="43AD0BE9" w14:textId="77777777" w:rsidR="009024A2" w:rsidRPr="00D03A86" w:rsidRDefault="009024A2" w:rsidP="00940136">
      <w:pPr>
        <w:spacing w:after="0" w:line="240" w:lineRule="auto"/>
        <w:jc w:val="both"/>
        <w:rPr>
          <w:szCs w:val="24"/>
        </w:rPr>
      </w:pPr>
    </w:p>
    <w:p w14:paraId="050C0E9E" w14:textId="060E1040" w:rsidR="00D903F2" w:rsidRPr="00D03A86" w:rsidRDefault="00D903F2" w:rsidP="00940136">
      <w:pPr>
        <w:pStyle w:val="Heading3"/>
        <w:spacing w:before="0" w:line="240" w:lineRule="auto"/>
        <w:jc w:val="both"/>
        <w:rPr>
          <w:szCs w:val="24"/>
        </w:rPr>
      </w:pPr>
      <w:r w:rsidRPr="00D03A86">
        <w:rPr>
          <w:szCs w:val="24"/>
        </w:rPr>
        <w:t>Evaluation – fitness for purpose</w:t>
      </w:r>
    </w:p>
    <w:p w14:paraId="64921D0C" w14:textId="29D319F9" w:rsidR="00F8075D" w:rsidRPr="00D03A86" w:rsidRDefault="00F8075D" w:rsidP="00940136">
      <w:pPr>
        <w:spacing w:after="0" w:line="240" w:lineRule="auto"/>
      </w:pPr>
    </w:p>
    <w:p w14:paraId="23D807D9" w14:textId="77777777" w:rsidR="00673C5E" w:rsidRPr="00D03A86" w:rsidRDefault="00673C5E" w:rsidP="00673C5E">
      <w:pPr>
        <w:spacing w:after="0" w:line="240" w:lineRule="auto"/>
        <w:jc w:val="both"/>
        <w:rPr>
          <w:i/>
          <w:color w:val="4F81BD" w:themeColor="accent1"/>
        </w:rPr>
      </w:pPr>
      <w:bookmarkStart w:id="19" w:name="_Hlk524097265"/>
      <w:r w:rsidRPr="00D03A86">
        <w:rPr>
          <w:i/>
          <w:color w:val="4F81BD" w:themeColor="accent1"/>
        </w:rPr>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 Please indicate if there is a regular evaluation of the assessment method and, if so, who carries that out. Please include references to evaluations which have been carried out.</w:t>
      </w:r>
    </w:p>
    <w:bookmarkEnd w:id="19"/>
    <w:p w14:paraId="22983362" w14:textId="77777777" w:rsidR="00673C5E" w:rsidRPr="00D03A86" w:rsidRDefault="00673C5E" w:rsidP="00940136">
      <w:pPr>
        <w:spacing w:after="0" w:line="240" w:lineRule="auto"/>
      </w:pPr>
    </w:p>
    <w:p w14:paraId="3A997AB2" w14:textId="77777777" w:rsidR="00D903F2" w:rsidRPr="00D03A86" w:rsidRDefault="00D903F2" w:rsidP="00940136">
      <w:pPr>
        <w:spacing w:after="0" w:line="240" w:lineRule="auto"/>
        <w:jc w:val="both"/>
        <w:rPr>
          <w:szCs w:val="24"/>
        </w:rPr>
      </w:pPr>
      <w:r w:rsidRPr="00D03A86">
        <w:rPr>
          <w:szCs w:val="24"/>
        </w:rPr>
        <w:t>Analysis of the strengths and weaknesses of the assessment method, including where possible evidence from official or independent evaluations, studies etc. For example, the balance of medical and non-medical input, cost-effectiveness, administrative burden, claimant experience, compatibility with the CRPD. Please indicate if there is a regular evaluation of the assessment method and, if so, who carries that out. Please include references to evaluations which have been carried out.</w:t>
      </w:r>
    </w:p>
    <w:p w14:paraId="01323D84" w14:textId="77777777" w:rsidR="00206415" w:rsidRPr="00D03A86" w:rsidRDefault="00206415" w:rsidP="00940136">
      <w:pPr>
        <w:spacing w:after="0" w:line="240" w:lineRule="auto"/>
        <w:jc w:val="both"/>
        <w:rPr>
          <w:szCs w:val="24"/>
        </w:rPr>
      </w:pPr>
    </w:p>
    <w:p w14:paraId="6F9A9446" w14:textId="47DD3970" w:rsidR="00690FD5" w:rsidRPr="00D03A86" w:rsidRDefault="00AD78D0" w:rsidP="00940136">
      <w:pPr>
        <w:spacing w:after="0" w:line="240" w:lineRule="auto"/>
        <w:jc w:val="both"/>
        <w:rPr>
          <w:szCs w:val="24"/>
        </w:rPr>
      </w:pPr>
      <w:r w:rsidRPr="00D03A86">
        <w:rPr>
          <w:szCs w:val="24"/>
        </w:rPr>
        <w:lastRenderedPageBreak/>
        <w:t xml:space="preserve">Even though the new legislation aims to place the assessment procedures as a whole in a </w:t>
      </w:r>
      <w:r w:rsidR="0040233A" w:rsidRPr="00D03A86">
        <w:rPr>
          <w:szCs w:val="24"/>
        </w:rPr>
        <w:t>re</w:t>
      </w:r>
      <w:r w:rsidRPr="00D03A86">
        <w:rPr>
          <w:szCs w:val="24"/>
        </w:rPr>
        <w:t>new</w:t>
      </w:r>
      <w:r w:rsidR="0040233A" w:rsidRPr="00D03A86">
        <w:rPr>
          <w:szCs w:val="24"/>
        </w:rPr>
        <w:t>ed</w:t>
      </w:r>
      <w:r w:rsidRPr="00D03A86">
        <w:rPr>
          <w:szCs w:val="24"/>
        </w:rPr>
        <w:t xml:space="preserve"> rights based framework, the fact that the method and processes of assess</w:t>
      </w:r>
      <w:r w:rsidR="00957730" w:rsidRPr="00D03A86">
        <w:rPr>
          <w:szCs w:val="24"/>
        </w:rPr>
        <w:t>ment</w:t>
      </w:r>
      <w:r w:rsidR="00B7253C" w:rsidRPr="00D03A86">
        <w:rPr>
          <w:szCs w:val="24"/>
        </w:rPr>
        <w:t xml:space="preserve"> used to date (i.e. diagnostic assessment, please see section “implementation and outcomes”)</w:t>
      </w:r>
      <w:r w:rsidR="00A84BB4" w:rsidRPr="00D03A86">
        <w:rPr>
          <w:szCs w:val="24"/>
        </w:rPr>
        <w:t xml:space="preserve"> </w:t>
      </w:r>
      <w:r w:rsidR="00957730" w:rsidRPr="00D03A86">
        <w:rPr>
          <w:szCs w:val="24"/>
        </w:rPr>
        <w:t>have been little addressed</w:t>
      </w:r>
      <w:r w:rsidRPr="00D03A86">
        <w:rPr>
          <w:szCs w:val="24"/>
        </w:rPr>
        <w:t xml:space="preserve"> </w:t>
      </w:r>
      <w:r w:rsidR="000C1B92" w:rsidRPr="00D03A86">
        <w:rPr>
          <w:szCs w:val="24"/>
        </w:rPr>
        <w:t xml:space="preserve">as such </w:t>
      </w:r>
      <w:r w:rsidR="00957730" w:rsidRPr="00D03A86">
        <w:rPr>
          <w:szCs w:val="24"/>
        </w:rPr>
        <w:t>rather suggests that practice is not likely to change automatically and unless the gaps and weaknesses</w:t>
      </w:r>
      <w:r w:rsidRPr="00D03A86">
        <w:rPr>
          <w:szCs w:val="24"/>
        </w:rPr>
        <w:t xml:space="preserve"> are </w:t>
      </w:r>
      <w:r w:rsidR="009F2582" w:rsidRPr="00D03A86">
        <w:rPr>
          <w:szCs w:val="24"/>
        </w:rPr>
        <w:t>identified and improved</w:t>
      </w:r>
      <w:r w:rsidRPr="00D03A86">
        <w:rPr>
          <w:szCs w:val="24"/>
        </w:rPr>
        <w:t>.</w:t>
      </w:r>
      <w:r w:rsidR="003A2CAB" w:rsidRPr="00D03A86">
        <w:rPr>
          <w:szCs w:val="24"/>
        </w:rPr>
        <w:t xml:space="preserve"> So far there </w:t>
      </w:r>
      <w:r w:rsidR="000A004D" w:rsidRPr="00D03A86">
        <w:rPr>
          <w:szCs w:val="24"/>
        </w:rPr>
        <w:t xml:space="preserve">have not been </w:t>
      </w:r>
      <w:r w:rsidR="0040233A" w:rsidRPr="00D03A86">
        <w:rPr>
          <w:szCs w:val="24"/>
        </w:rPr>
        <w:t>regular official evaluations</w:t>
      </w:r>
      <w:r w:rsidR="00D7135A" w:rsidRPr="00D03A86">
        <w:rPr>
          <w:szCs w:val="24"/>
        </w:rPr>
        <w:t xml:space="preserve"> </w:t>
      </w:r>
      <w:r w:rsidR="009F2582" w:rsidRPr="00D03A86">
        <w:rPr>
          <w:szCs w:val="24"/>
        </w:rPr>
        <w:t>(</w:t>
      </w:r>
      <w:r w:rsidR="00B61E21" w:rsidRPr="00D03A86">
        <w:rPr>
          <w:szCs w:val="24"/>
        </w:rPr>
        <w:t>PESEA 2014</w:t>
      </w:r>
      <w:r w:rsidR="00F8075D" w:rsidRPr="00D03A86">
        <w:rPr>
          <w:szCs w:val="24"/>
        </w:rPr>
        <w:t>).</w:t>
      </w:r>
      <w:r w:rsidR="00CE56C0" w:rsidRPr="00D03A86">
        <w:rPr>
          <w:rStyle w:val="FootnoteReference"/>
          <w:szCs w:val="24"/>
        </w:rPr>
        <w:footnoteReference w:id="46"/>
      </w:r>
      <w:r w:rsidR="00455596" w:rsidRPr="00D03A86">
        <w:rPr>
          <w:szCs w:val="24"/>
        </w:rPr>
        <w:t xml:space="preserve"> </w:t>
      </w:r>
      <w:r w:rsidR="009017E1" w:rsidRPr="00D03A86">
        <w:rPr>
          <w:szCs w:val="24"/>
        </w:rPr>
        <w:t>T</w:t>
      </w:r>
      <w:r w:rsidR="0040233A" w:rsidRPr="00D03A86">
        <w:rPr>
          <w:szCs w:val="24"/>
        </w:rPr>
        <w:t xml:space="preserve">he new </w:t>
      </w:r>
      <w:r w:rsidR="00B7253C" w:rsidRPr="00D03A86">
        <w:rPr>
          <w:szCs w:val="24"/>
        </w:rPr>
        <w:t xml:space="preserve">draft </w:t>
      </w:r>
      <w:r w:rsidR="0040233A" w:rsidRPr="00D03A86">
        <w:rPr>
          <w:szCs w:val="24"/>
        </w:rPr>
        <w:t>legislation foresees</w:t>
      </w:r>
      <w:r w:rsidR="000C1B92" w:rsidRPr="00D03A86">
        <w:rPr>
          <w:szCs w:val="24"/>
        </w:rPr>
        <w:t xml:space="preserve"> educational</w:t>
      </w:r>
      <w:r w:rsidR="0040233A" w:rsidRPr="00D03A86">
        <w:rPr>
          <w:szCs w:val="24"/>
        </w:rPr>
        <w:t xml:space="preserve"> programming </w:t>
      </w:r>
      <w:r w:rsidR="000C1B92" w:rsidRPr="00D03A86">
        <w:rPr>
          <w:szCs w:val="24"/>
        </w:rPr>
        <w:t xml:space="preserve">as a whole being </w:t>
      </w:r>
      <w:r w:rsidR="0040233A" w:rsidRPr="00D03A86">
        <w:rPr>
          <w:szCs w:val="24"/>
        </w:rPr>
        <w:t xml:space="preserve">based on </w:t>
      </w:r>
      <w:r w:rsidR="0010143E" w:rsidRPr="00D03A86">
        <w:rPr>
          <w:szCs w:val="24"/>
        </w:rPr>
        <w:t xml:space="preserve">regular </w:t>
      </w:r>
      <w:r w:rsidR="0040233A" w:rsidRPr="00D03A86">
        <w:rPr>
          <w:szCs w:val="24"/>
        </w:rPr>
        <w:t>monitoring and evaluation</w:t>
      </w:r>
      <w:r w:rsidR="009017E1" w:rsidRPr="00D03A86">
        <w:rPr>
          <w:szCs w:val="24"/>
        </w:rPr>
        <w:t xml:space="preserve"> on a regional level</w:t>
      </w:r>
      <w:r w:rsidR="000C1B92" w:rsidRPr="00D03A86">
        <w:rPr>
          <w:szCs w:val="24"/>
        </w:rPr>
        <w:t xml:space="preserve">, </w:t>
      </w:r>
      <w:r w:rsidR="002B134E" w:rsidRPr="00D03A86">
        <w:rPr>
          <w:szCs w:val="24"/>
        </w:rPr>
        <w:t xml:space="preserve">to be </w:t>
      </w:r>
      <w:r w:rsidR="000C1B92" w:rsidRPr="00D03A86">
        <w:rPr>
          <w:szCs w:val="24"/>
        </w:rPr>
        <w:t xml:space="preserve">conducted by </w:t>
      </w:r>
      <w:r w:rsidR="00455596" w:rsidRPr="00D03A86">
        <w:rPr>
          <w:szCs w:val="24"/>
        </w:rPr>
        <w:t>the Regional Centres for Educational Planning (PEKES) (please see above)</w:t>
      </w:r>
      <w:r w:rsidR="00816A92" w:rsidRPr="00D03A86">
        <w:rPr>
          <w:szCs w:val="24"/>
        </w:rPr>
        <w:t>.</w:t>
      </w:r>
    </w:p>
    <w:p w14:paraId="7B24CA12" w14:textId="77777777" w:rsidR="00D7135A" w:rsidRPr="00D03A86" w:rsidRDefault="00D7135A" w:rsidP="00940136">
      <w:pPr>
        <w:spacing w:after="0" w:line="240" w:lineRule="auto"/>
        <w:jc w:val="both"/>
        <w:rPr>
          <w:szCs w:val="24"/>
        </w:rPr>
      </w:pPr>
    </w:p>
    <w:p w14:paraId="6C40A004" w14:textId="5FD14A85" w:rsidR="00EB29D0" w:rsidRPr="00D03A86" w:rsidRDefault="00690FD5" w:rsidP="00940136">
      <w:pPr>
        <w:spacing w:after="0" w:line="240" w:lineRule="auto"/>
        <w:jc w:val="both"/>
        <w:rPr>
          <w:szCs w:val="24"/>
        </w:rPr>
      </w:pPr>
      <w:r w:rsidRPr="00D03A86">
        <w:rPr>
          <w:szCs w:val="24"/>
        </w:rPr>
        <w:t>T</w:t>
      </w:r>
      <w:r w:rsidR="0010143E" w:rsidRPr="00D03A86">
        <w:rPr>
          <w:szCs w:val="24"/>
        </w:rPr>
        <w:t>he scientific community i</w:t>
      </w:r>
      <w:r w:rsidR="005E7191" w:rsidRPr="00D03A86">
        <w:rPr>
          <w:szCs w:val="24"/>
        </w:rPr>
        <w:t>n special education has repeatedly questioned the role of assessment and support structures</w:t>
      </w:r>
      <w:r w:rsidR="00022858" w:rsidRPr="00D03A86">
        <w:rPr>
          <w:szCs w:val="24"/>
        </w:rPr>
        <w:t>,</w:t>
      </w:r>
      <w:r w:rsidR="005E7191" w:rsidRPr="00D03A86">
        <w:rPr>
          <w:szCs w:val="24"/>
        </w:rPr>
        <w:t xml:space="preserve"> </w:t>
      </w:r>
      <w:r w:rsidR="00204945" w:rsidRPr="00D03A86">
        <w:rPr>
          <w:szCs w:val="24"/>
        </w:rPr>
        <w:t>as they have operated so far</w:t>
      </w:r>
      <w:r w:rsidR="00022858" w:rsidRPr="00D03A86">
        <w:rPr>
          <w:szCs w:val="24"/>
        </w:rPr>
        <w:t>,</w:t>
      </w:r>
      <w:r w:rsidR="00204945" w:rsidRPr="00D03A86">
        <w:rPr>
          <w:szCs w:val="24"/>
        </w:rPr>
        <w:t xml:space="preserve"> </w:t>
      </w:r>
      <w:r w:rsidR="005E7191" w:rsidRPr="00D03A86">
        <w:rPr>
          <w:szCs w:val="24"/>
        </w:rPr>
        <w:t>in promoting inclusive</w:t>
      </w:r>
      <w:r w:rsidR="00646469" w:rsidRPr="00D03A86">
        <w:rPr>
          <w:szCs w:val="24"/>
        </w:rPr>
        <w:t xml:space="preserve"> education</w:t>
      </w:r>
      <w:r w:rsidR="008372AA" w:rsidRPr="00D03A86">
        <w:rPr>
          <w:szCs w:val="24"/>
        </w:rPr>
        <w:t>. It is</w:t>
      </w:r>
      <w:r w:rsidR="00646469" w:rsidRPr="00D03A86">
        <w:rPr>
          <w:szCs w:val="24"/>
        </w:rPr>
        <w:t xml:space="preserve"> rather</w:t>
      </w:r>
      <w:r w:rsidR="008372AA" w:rsidRPr="00D03A86">
        <w:rPr>
          <w:szCs w:val="24"/>
        </w:rPr>
        <w:t xml:space="preserve"> contended that </w:t>
      </w:r>
      <w:r w:rsidR="0010143E" w:rsidRPr="00D03A86">
        <w:rPr>
          <w:szCs w:val="24"/>
        </w:rPr>
        <w:t>in practice their role</w:t>
      </w:r>
      <w:r w:rsidR="00646469" w:rsidRPr="00D03A86">
        <w:rPr>
          <w:szCs w:val="24"/>
        </w:rPr>
        <w:t xml:space="preserve"> </w:t>
      </w:r>
      <w:r w:rsidR="0010143E" w:rsidRPr="00D03A86">
        <w:rPr>
          <w:szCs w:val="24"/>
        </w:rPr>
        <w:t>“</w:t>
      </w:r>
      <w:r w:rsidR="00646469" w:rsidRPr="00D03A86">
        <w:rPr>
          <w:szCs w:val="24"/>
        </w:rPr>
        <w:t>seems to be limited to categorical diagnosis based on the medical model of disability</w:t>
      </w:r>
      <w:r w:rsidR="00F6616B" w:rsidRPr="00D03A86">
        <w:rPr>
          <w:szCs w:val="24"/>
        </w:rPr>
        <w:t>, thus</w:t>
      </w:r>
      <w:r w:rsidR="00646469" w:rsidRPr="00D03A86">
        <w:rPr>
          <w:szCs w:val="24"/>
        </w:rPr>
        <w:t xml:space="preserve"> reinforcing segregated education”</w:t>
      </w:r>
      <w:r w:rsidR="000056D6" w:rsidRPr="00D03A86">
        <w:rPr>
          <w:szCs w:val="24"/>
        </w:rPr>
        <w:t xml:space="preserve"> (</w:t>
      </w:r>
      <w:proofErr w:type="spellStart"/>
      <w:r w:rsidR="000056D6" w:rsidRPr="00D03A86">
        <w:rPr>
          <w:szCs w:val="24"/>
        </w:rPr>
        <w:t>Eustathiou</w:t>
      </w:r>
      <w:proofErr w:type="spellEnd"/>
      <w:r w:rsidR="000056D6" w:rsidRPr="00D03A86">
        <w:rPr>
          <w:szCs w:val="24"/>
        </w:rPr>
        <w:t xml:space="preserve"> 2016 p.1)</w:t>
      </w:r>
      <w:r w:rsidR="00646469" w:rsidRPr="00D03A86">
        <w:rPr>
          <w:szCs w:val="24"/>
        </w:rPr>
        <w:t xml:space="preserve">. </w:t>
      </w:r>
      <w:r w:rsidR="00EB29D0" w:rsidRPr="00D03A86">
        <w:rPr>
          <w:szCs w:val="24"/>
        </w:rPr>
        <w:t>The following remark is</w:t>
      </w:r>
      <w:r w:rsidR="005D67AB" w:rsidRPr="00D03A86">
        <w:rPr>
          <w:szCs w:val="24"/>
        </w:rPr>
        <w:t xml:space="preserve"> </w:t>
      </w:r>
      <w:r w:rsidR="00ED2E78" w:rsidRPr="00D03A86">
        <w:rPr>
          <w:szCs w:val="24"/>
        </w:rPr>
        <w:t xml:space="preserve">further </w:t>
      </w:r>
      <w:r w:rsidR="005D67AB" w:rsidRPr="00D03A86">
        <w:rPr>
          <w:szCs w:val="24"/>
        </w:rPr>
        <w:t>indicative</w:t>
      </w:r>
      <w:r w:rsidR="00833C49" w:rsidRPr="00D03A86">
        <w:rPr>
          <w:szCs w:val="24"/>
        </w:rPr>
        <w:t xml:space="preserve"> of the potential ineffectiveness in terms of </w:t>
      </w:r>
      <w:r w:rsidR="004E0D89" w:rsidRPr="00D03A86">
        <w:rPr>
          <w:szCs w:val="24"/>
        </w:rPr>
        <w:t>ensuring equal access to school</w:t>
      </w:r>
      <w:r w:rsidR="00833C49" w:rsidRPr="00D03A86">
        <w:rPr>
          <w:szCs w:val="24"/>
        </w:rPr>
        <w:t xml:space="preserve"> in certain cases</w:t>
      </w:r>
      <w:r w:rsidR="005D67AB" w:rsidRPr="00D03A86">
        <w:rPr>
          <w:szCs w:val="24"/>
        </w:rPr>
        <w:t>: “</w:t>
      </w:r>
      <w:r w:rsidR="00EB29D0" w:rsidRPr="00D03A86">
        <w:rPr>
          <w:szCs w:val="24"/>
        </w:rPr>
        <w:t>Parti</w:t>
      </w:r>
      <w:r w:rsidR="005D67AB" w:rsidRPr="00D03A86">
        <w:rPr>
          <w:szCs w:val="24"/>
        </w:rPr>
        <w:t>cularly in secondary education…</w:t>
      </w:r>
      <w:r w:rsidR="00EB29D0" w:rsidRPr="00D03A86">
        <w:rPr>
          <w:szCs w:val="24"/>
        </w:rPr>
        <w:t xml:space="preserve">it has been observed that most students who are obliged to change school environment (i.e. switch to special education) are </w:t>
      </w:r>
      <w:r w:rsidR="00E00A42" w:rsidRPr="00D03A86">
        <w:rPr>
          <w:szCs w:val="24"/>
        </w:rPr>
        <w:t xml:space="preserve">essentially </w:t>
      </w:r>
      <w:r w:rsidR="00EB29D0" w:rsidRPr="00D03A86">
        <w:rPr>
          <w:szCs w:val="24"/>
        </w:rPr>
        <w:t>forced to drop out” (PESEA 2014)</w:t>
      </w:r>
      <w:r w:rsidR="00ED2E78" w:rsidRPr="00D03A86">
        <w:rPr>
          <w:szCs w:val="24"/>
        </w:rPr>
        <w:t>.</w:t>
      </w:r>
    </w:p>
    <w:p w14:paraId="37806FA1" w14:textId="5456376E" w:rsidR="005E7191" w:rsidRPr="00D03A86" w:rsidRDefault="00646469" w:rsidP="00940136">
      <w:pPr>
        <w:spacing w:after="0" w:line="240" w:lineRule="auto"/>
        <w:jc w:val="both"/>
        <w:rPr>
          <w:szCs w:val="24"/>
        </w:rPr>
      </w:pPr>
      <w:r w:rsidRPr="00D03A86">
        <w:rPr>
          <w:szCs w:val="24"/>
        </w:rPr>
        <w:t xml:space="preserve"> </w:t>
      </w:r>
    </w:p>
    <w:p w14:paraId="568B1782" w14:textId="35F40946" w:rsidR="001522D4" w:rsidRPr="00D03A86" w:rsidRDefault="00022858" w:rsidP="00940136">
      <w:pPr>
        <w:spacing w:after="0" w:line="240" w:lineRule="auto"/>
        <w:jc w:val="both"/>
        <w:rPr>
          <w:szCs w:val="24"/>
        </w:rPr>
      </w:pPr>
      <w:r w:rsidRPr="00D03A86">
        <w:rPr>
          <w:szCs w:val="24"/>
        </w:rPr>
        <w:t>What is at sta</w:t>
      </w:r>
      <w:r w:rsidR="005367D2" w:rsidRPr="00D03A86">
        <w:rPr>
          <w:szCs w:val="24"/>
        </w:rPr>
        <w:t xml:space="preserve">ke is indeed the understanding or </w:t>
      </w:r>
      <w:r w:rsidRPr="00D03A86">
        <w:rPr>
          <w:szCs w:val="24"/>
        </w:rPr>
        <w:t xml:space="preserve">definition of disability within the assessment process. </w:t>
      </w:r>
      <w:r w:rsidR="00E423B5" w:rsidRPr="00D03A86">
        <w:rPr>
          <w:szCs w:val="24"/>
        </w:rPr>
        <w:t>The main input seems</w:t>
      </w:r>
      <w:r w:rsidR="005E7191" w:rsidRPr="00D03A86">
        <w:rPr>
          <w:szCs w:val="24"/>
        </w:rPr>
        <w:t xml:space="preserve"> to </w:t>
      </w:r>
      <w:r w:rsidR="005367D2" w:rsidRPr="00D03A86">
        <w:rPr>
          <w:szCs w:val="24"/>
        </w:rPr>
        <w:t xml:space="preserve">have </w:t>
      </w:r>
      <w:r w:rsidR="005E7191" w:rsidRPr="00D03A86">
        <w:rPr>
          <w:szCs w:val="24"/>
        </w:rPr>
        <w:t>rest</w:t>
      </w:r>
      <w:r w:rsidR="005367D2" w:rsidRPr="00D03A86">
        <w:rPr>
          <w:szCs w:val="24"/>
        </w:rPr>
        <w:t>ed</w:t>
      </w:r>
      <w:r w:rsidR="005E7191" w:rsidRPr="00D03A86">
        <w:rPr>
          <w:szCs w:val="24"/>
        </w:rPr>
        <w:t xml:space="preserve"> </w:t>
      </w:r>
      <w:r w:rsidR="00E423B5" w:rsidRPr="00D03A86">
        <w:rPr>
          <w:szCs w:val="24"/>
        </w:rPr>
        <w:t>mainly on individual and family factors</w:t>
      </w:r>
      <w:r w:rsidR="005E7191" w:rsidRPr="00D03A86">
        <w:rPr>
          <w:szCs w:val="24"/>
        </w:rPr>
        <w:t xml:space="preserve">, rather than on </w:t>
      </w:r>
      <w:r w:rsidR="00E423B5" w:rsidRPr="00D03A86">
        <w:rPr>
          <w:szCs w:val="24"/>
        </w:rPr>
        <w:t xml:space="preserve">a </w:t>
      </w:r>
      <w:r w:rsidR="00851CC7" w:rsidRPr="00D03A86">
        <w:rPr>
          <w:szCs w:val="24"/>
        </w:rPr>
        <w:t>community and</w:t>
      </w:r>
      <w:r w:rsidR="005E7191" w:rsidRPr="00D03A86">
        <w:rPr>
          <w:szCs w:val="24"/>
        </w:rPr>
        <w:t xml:space="preserve"> school level. </w:t>
      </w:r>
      <w:r w:rsidR="00851CC7" w:rsidRPr="00D03A86">
        <w:rPr>
          <w:szCs w:val="24"/>
        </w:rPr>
        <w:t>F</w:t>
      </w:r>
      <w:r w:rsidR="005367D2" w:rsidRPr="00D03A86">
        <w:rPr>
          <w:szCs w:val="24"/>
        </w:rPr>
        <w:t>or instance, f</w:t>
      </w:r>
      <w:r w:rsidR="00851CC7" w:rsidRPr="00D03A86">
        <w:rPr>
          <w:szCs w:val="24"/>
        </w:rPr>
        <w:t>rom accounts available (</w:t>
      </w:r>
      <w:proofErr w:type="spellStart"/>
      <w:r w:rsidR="00851CC7" w:rsidRPr="00D03A86">
        <w:rPr>
          <w:szCs w:val="24"/>
        </w:rPr>
        <w:t>Papatrecha</w:t>
      </w:r>
      <w:proofErr w:type="spellEnd"/>
      <w:r w:rsidR="00851CC7" w:rsidRPr="00D03A86">
        <w:rPr>
          <w:szCs w:val="24"/>
        </w:rPr>
        <w:t xml:space="preserve"> et al. 2013),</w:t>
      </w:r>
      <w:r w:rsidR="005E7191" w:rsidRPr="00D03A86">
        <w:rPr>
          <w:szCs w:val="24"/>
        </w:rPr>
        <w:t xml:space="preserve"> </w:t>
      </w:r>
      <w:r w:rsidR="00851CC7" w:rsidRPr="00D03A86">
        <w:rPr>
          <w:szCs w:val="24"/>
        </w:rPr>
        <w:t xml:space="preserve">professionals’ views regarding the most suitable school environment for children at the Autistic Spectrum were based on </w:t>
      </w:r>
      <w:r w:rsidR="005E7191" w:rsidRPr="00D03A86">
        <w:rPr>
          <w:szCs w:val="24"/>
        </w:rPr>
        <w:t>factors such as “social adaptation, IQ, and seve</w:t>
      </w:r>
      <w:r w:rsidR="00851CC7" w:rsidRPr="00D03A86">
        <w:rPr>
          <w:szCs w:val="24"/>
        </w:rPr>
        <w:t xml:space="preserve">rity of autism”, as well as </w:t>
      </w:r>
      <w:r w:rsidR="005E7191" w:rsidRPr="00D03A86">
        <w:rPr>
          <w:szCs w:val="24"/>
        </w:rPr>
        <w:t>whether an autistic child can “tolerate” the school environment (</w:t>
      </w:r>
      <w:proofErr w:type="spellStart"/>
      <w:r w:rsidR="00D1447C" w:rsidRPr="00D03A86">
        <w:rPr>
          <w:szCs w:val="24"/>
        </w:rPr>
        <w:t>Papatrecha</w:t>
      </w:r>
      <w:proofErr w:type="spellEnd"/>
      <w:r w:rsidR="00D1447C" w:rsidRPr="00D03A86">
        <w:rPr>
          <w:szCs w:val="24"/>
        </w:rPr>
        <w:t xml:space="preserve"> et al. 2013, </w:t>
      </w:r>
      <w:r w:rsidR="005E7191" w:rsidRPr="00D03A86">
        <w:rPr>
          <w:szCs w:val="24"/>
        </w:rPr>
        <w:t>p.143)</w:t>
      </w:r>
      <w:r w:rsidR="00A411A3" w:rsidRPr="00D03A86">
        <w:rPr>
          <w:szCs w:val="24"/>
        </w:rPr>
        <w:t>, rather than to what extent the school environment can be adapted to support individual needs</w:t>
      </w:r>
      <w:r w:rsidR="005E7191" w:rsidRPr="00D03A86">
        <w:rPr>
          <w:szCs w:val="24"/>
        </w:rPr>
        <w:t xml:space="preserve">. Additionally, “family and living conditions” and </w:t>
      </w:r>
      <w:r w:rsidR="00A5448B" w:rsidRPr="00D03A86">
        <w:rPr>
          <w:szCs w:val="24"/>
        </w:rPr>
        <w:t xml:space="preserve">specifically </w:t>
      </w:r>
      <w:r w:rsidR="005E7191" w:rsidRPr="00D03A86">
        <w:rPr>
          <w:szCs w:val="24"/>
        </w:rPr>
        <w:t>whether the family can support a child in mainstream education” also seem to be deciding factors</w:t>
      </w:r>
      <w:r w:rsidR="00A76C29" w:rsidRPr="00D03A86">
        <w:rPr>
          <w:szCs w:val="24"/>
        </w:rPr>
        <w:t xml:space="preserve"> by the professionals involved in the assessment process</w:t>
      </w:r>
      <w:r w:rsidR="005E7191" w:rsidRPr="00D03A86">
        <w:rPr>
          <w:szCs w:val="24"/>
        </w:rPr>
        <w:t xml:space="preserve"> (</w:t>
      </w:r>
      <w:proofErr w:type="spellStart"/>
      <w:r w:rsidR="00D1447C" w:rsidRPr="00D03A86">
        <w:rPr>
          <w:szCs w:val="24"/>
        </w:rPr>
        <w:t>Papatrecha</w:t>
      </w:r>
      <w:proofErr w:type="spellEnd"/>
      <w:r w:rsidR="00D1447C" w:rsidRPr="00D03A86">
        <w:rPr>
          <w:szCs w:val="24"/>
        </w:rPr>
        <w:t xml:space="preserve"> et al. 2013, </w:t>
      </w:r>
      <w:r w:rsidR="005E7191" w:rsidRPr="00D03A86">
        <w:rPr>
          <w:szCs w:val="24"/>
        </w:rPr>
        <w:t>p.142)</w:t>
      </w:r>
      <w:r w:rsidR="00F8075D" w:rsidRPr="00D03A86">
        <w:rPr>
          <w:szCs w:val="24"/>
        </w:rPr>
        <w:t>.</w:t>
      </w:r>
    </w:p>
    <w:p w14:paraId="6E149539" w14:textId="77777777" w:rsidR="00F8075D" w:rsidRPr="00D03A86" w:rsidRDefault="00F8075D" w:rsidP="00940136">
      <w:pPr>
        <w:spacing w:after="0" w:line="240" w:lineRule="auto"/>
        <w:jc w:val="both"/>
        <w:rPr>
          <w:szCs w:val="24"/>
        </w:rPr>
      </w:pPr>
    </w:p>
    <w:p w14:paraId="4DB0A4EF" w14:textId="0F927B6C" w:rsidR="00C41EF8" w:rsidRPr="00D03A86" w:rsidRDefault="00022858" w:rsidP="00940136">
      <w:pPr>
        <w:spacing w:after="0" w:line="240" w:lineRule="auto"/>
        <w:jc w:val="both"/>
        <w:rPr>
          <w:szCs w:val="24"/>
        </w:rPr>
      </w:pPr>
      <w:r w:rsidRPr="00D03A86">
        <w:rPr>
          <w:szCs w:val="24"/>
        </w:rPr>
        <w:t>At the same time, the focus on diagnosis which has characterised the assessment process so far, seems</w:t>
      </w:r>
      <w:r w:rsidR="00C91CB4" w:rsidRPr="00D03A86">
        <w:rPr>
          <w:szCs w:val="24"/>
        </w:rPr>
        <w:t xml:space="preserve"> practically</w:t>
      </w:r>
      <w:r w:rsidRPr="00D03A86">
        <w:rPr>
          <w:szCs w:val="24"/>
        </w:rPr>
        <w:t xml:space="preserve"> to have </w:t>
      </w:r>
      <w:r w:rsidR="000A004D" w:rsidRPr="00D03A86">
        <w:rPr>
          <w:szCs w:val="24"/>
        </w:rPr>
        <w:t>narrowed</w:t>
      </w:r>
      <w:r w:rsidRPr="00D03A86">
        <w:rPr>
          <w:szCs w:val="24"/>
        </w:rPr>
        <w:t xml:space="preserve"> </w:t>
      </w:r>
      <w:r w:rsidR="0039642A" w:rsidRPr="00D03A86">
        <w:rPr>
          <w:szCs w:val="24"/>
        </w:rPr>
        <w:t>the role of such structures in</w:t>
      </w:r>
      <w:r w:rsidR="000A004D" w:rsidRPr="00D03A86">
        <w:rPr>
          <w:szCs w:val="24"/>
        </w:rPr>
        <w:t xml:space="preserve"> supporting</w:t>
      </w:r>
      <w:r w:rsidR="0039642A" w:rsidRPr="00D03A86">
        <w:rPr>
          <w:szCs w:val="24"/>
        </w:rPr>
        <w:t xml:space="preserve"> </w:t>
      </w:r>
      <w:r w:rsidR="000A004D" w:rsidRPr="00D03A86">
        <w:rPr>
          <w:szCs w:val="24"/>
        </w:rPr>
        <w:t xml:space="preserve">the educational community </w:t>
      </w:r>
      <w:r w:rsidR="00C91CB4" w:rsidRPr="00D03A86">
        <w:rPr>
          <w:szCs w:val="24"/>
        </w:rPr>
        <w:t>in implementing inclusive education which was also under its jurisdiction (Law 3699/2008 Art. 4 par.</w:t>
      </w:r>
      <w:r w:rsidR="0040469D" w:rsidRPr="00D03A86">
        <w:rPr>
          <w:szCs w:val="24"/>
        </w:rPr>
        <w:t>1.10</w:t>
      </w:r>
      <w:r w:rsidR="00C91CB4" w:rsidRPr="00D03A86">
        <w:rPr>
          <w:szCs w:val="24"/>
        </w:rPr>
        <w:t>)</w:t>
      </w:r>
      <w:r w:rsidR="00C83974" w:rsidRPr="00D03A86">
        <w:rPr>
          <w:szCs w:val="24"/>
        </w:rPr>
        <w:t xml:space="preserve">. </w:t>
      </w:r>
      <w:r w:rsidR="00F156EE" w:rsidRPr="00D03A86">
        <w:rPr>
          <w:szCs w:val="24"/>
        </w:rPr>
        <w:t xml:space="preserve">Reportedly, </w:t>
      </w:r>
      <w:r w:rsidR="00C83974" w:rsidRPr="00D03A86">
        <w:rPr>
          <w:szCs w:val="24"/>
        </w:rPr>
        <w:t>there has</w:t>
      </w:r>
      <w:r w:rsidR="00F156EE" w:rsidRPr="00D03A86">
        <w:rPr>
          <w:szCs w:val="24"/>
        </w:rPr>
        <w:t xml:space="preserve"> been l</w:t>
      </w:r>
      <w:r w:rsidR="00646469" w:rsidRPr="00D03A86">
        <w:rPr>
          <w:szCs w:val="24"/>
        </w:rPr>
        <w:t>imited interaction and support provided by KEDDY to schools,</w:t>
      </w:r>
      <w:r w:rsidR="00F156EE" w:rsidRPr="00D03A86">
        <w:rPr>
          <w:szCs w:val="24"/>
        </w:rPr>
        <w:t xml:space="preserve"> in terms of building their capacity to respond to the diverse needs of pupils with disabilities and/or learning difficulties, mainly as their role has been perceived as related solely to decisions about special or mainstream education (</w:t>
      </w:r>
      <w:r w:rsidR="00F8075D" w:rsidRPr="00D03A86">
        <w:rPr>
          <w:szCs w:val="24"/>
        </w:rPr>
        <w:t xml:space="preserve">Panagiotaki and </w:t>
      </w:r>
      <w:proofErr w:type="spellStart"/>
      <w:r w:rsidR="00F8075D" w:rsidRPr="00D03A86">
        <w:rPr>
          <w:szCs w:val="24"/>
        </w:rPr>
        <w:t>Andrioti</w:t>
      </w:r>
      <w:proofErr w:type="spellEnd"/>
      <w:r w:rsidR="00F8075D" w:rsidRPr="00D03A86">
        <w:rPr>
          <w:szCs w:val="24"/>
        </w:rPr>
        <w:t xml:space="preserve"> (2012).</w:t>
      </w:r>
      <w:r w:rsidR="00F156EE" w:rsidRPr="00D03A86">
        <w:rPr>
          <w:rStyle w:val="FootnoteReference"/>
          <w:szCs w:val="24"/>
        </w:rPr>
        <w:footnoteReference w:id="47"/>
      </w:r>
      <w:r w:rsidR="00F156EE" w:rsidRPr="00D03A86">
        <w:rPr>
          <w:szCs w:val="24"/>
        </w:rPr>
        <w:t xml:space="preserve"> </w:t>
      </w:r>
    </w:p>
    <w:p w14:paraId="0195A066" w14:textId="77777777" w:rsidR="00F8075D" w:rsidRPr="00D03A86" w:rsidRDefault="00F8075D" w:rsidP="00940136">
      <w:pPr>
        <w:spacing w:after="0" w:line="240" w:lineRule="auto"/>
        <w:jc w:val="both"/>
        <w:rPr>
          <w:szCs w:val="24"/>
        </w:rPr>
      </w:pPr>
    </w:p>
    <w:p w14:paraId="7BEFD4EA" w14:textId="21012669" w:rsidR="00C41EF8" w:rsidRPr="00D03A86" w:rsidRDefault="00C41EF8" w:rsidP="00940136">
      <w:pPr>
        <w:spacing w:after="0" w:line="240" w:lineRule="auto"/>
        <w:jc w:val="both"/>
        <w:rPr>
          <w:szCs w:val="24"/>
        </w:rPr>
      </w:pPr>
      <w:r w:rsidRPr="00D03A86">
        <w:rPr>
          <w:szCs w:val="24"/>
        </w:rPr>
        <w:t xml:space="preserve">In these regards, dismissing the function of diagnosis in educational needs assessments has </w:t>
      </w:r>
      <w:r w:rsidR="000A1350" w:rsidRPr="00D03A86">
        <w:rPr>
          <w:szCs w:val="24"/>
        </w:rPr>
        <w:t xml:space="preserve">significant </w:t>
      </w:r>
      <w:r w:rsidRPr="00D03A86">
        <w:rPr>
          <w:szCs w:val="24"/>
        </w:rPr>
        <w:t xml:space="preserve">potential in promoting inclusive education, thus </w:t>
      </w:r>
      <w:r w:rsidR="000A1350" w:rsidRPr="00D03A86">
        <w:rPr>
          <w:szCs w:val="24"/>
        </w:rPr>
        <w:t>the case of new legislation</w:t>
      </w:r>
      <w:r w:rsidRPr="00D03A86">
        <w:rPr>
          <w:szCs w:val="24"/>
        </w:rPr>
        <w:t xml:space="preserve"> is</w:t>
      </w:r>
      <w:r w:rsidR="000A1350" w:rsidRPr="00D03A86">
        <w:rPr>
          <w:szCs w:val="24"/>
        </w:rPr>
        <w:t xml:space="preserve"> being</w:t>
      </w:r>
      <w:r w:rsidRPr="00D03A86">
        <w:rPr>
          <w:szCs w:val="24"/>
        </w:rPr>
        <w:t xml:space="preserve"> acknowledged as promising practice.</w:t>
      </w:r>
      <w:r w:rsidR="00A84BB4" w:rsidRPr="00D03A86">
        <w:rPr>
          <w:szCs w:val="24"/>
        </w:rPr>
        <w:t xml:space="preserve"> </w:t>
      </w:r>
    </w:p>
    <w:p w14:paraId="442B4689" w14:textId="77777777" w:rsidR="00940136" w:rsidRPr="00D03A86" w:rsidRDefault="00940136" w:rsidP="00940136">
      <w:pPr>
        <w:spacing w:after="0" w:line="240" w:lineRule="auto"/>
        <w:jc w:val="both"/>
        <w:rPr>
          <w:szCs w:val="24"/>
        </w:rPr>
      </w:pPr>
    </w:p>
    <w:p w14:paraId="2E3D5B2D" w14:textId="5F5EB75C" w:rsidR="00D903F2" w:rsidRPr="00D03A86" w:rsidRDefault="00D903F2" w:rsidP="00940136">
      <w:pPr>
        <w:pStyle w:val="Heading3"/>
        <w:spacing w:before="0" w:line="240" w:lineRule="auto"/>
        <w:jc w:val="both"/>
        <w:rPr>
          <w:szCs w:val="24"/>
        </w:rPr>
      </w:pPr>
      <w:r w:rsidRPr="00D03A86">
        <w:rPr>
          <w:szCs w:val="24"/>
        </w:rPr>
        <w:lastRenderedPageBreak/>
        <w:t>Promising practice</w:t>
      </w:r>
    </w:p>
    <w:p w14:paraId="4FAD2ED2" w14:textId="5F396BDD" w:rsidR="00F8075D" w:rsidRPr="00D03A86" w:rsidRDefault="00F8075D" w:rsidP="00940136">
      <w:pPr>
        <w:spacing w:after="0" w:line="240" w:lineRule="auto"/>
      </w:pPr>
    </w:p>
    <w:p w14:paraId="65749BE3" w14:textId="77777777" w:rsidR="00673C5E" w:rsidRPr="00D03A86" w:rsidRDefault="00673C5E" w:rsidP="00673C5E">
      <w:pPr>
        <w:spacing w:after="0" w:line="240" w:lineRule="auto"/>
        <w:jc w:val="both"/>
        <w:rPr>
          <w:i/>
          <w:color w:val="4F81BD" w:themeColor="accent1"/>
        </w:rPr>
      </w:pPr>
      <w:bookmarkStart w:id="20" w:name="_Hlk524097275"/>
      <w:r w:rsidRPr="00D03A86">
        <w:rPr>
          <w:i/>
          <w:color w:val="4F81BD" w:themeColor="accent1"/>
        </w:rPr>
        <w:t>If the case study includes examples of good practice, of interest to the EU and other countries, then identify and explain the most promising elements. Please indicate if disabled peoples’ organisations have been involved in developing or evaluating the assessment method.</w:t>
      </w:r>
    </w:p>
    <w:bookmarkEnd w:id="20"/>
    <w:p w14:paraId="38EBF95E" w14:textId="77777777" w:rsidR="00673C5E" w:rsidRPr="00D03A86" w:rsidRDefault="00673C5E" w:rsidP="00940136">
      <w:pPr>
        <w:spacing w:after="0" w:line="240" w:lineRule="auto"/>
      </w:pPr>
    </w:p>
    <w:p w14:paraId="02DF8852" w14:textId="4B3DDF0B" w:rsidR="00D903F2" w:rsidRPr="00D03A86" w:rsidRDefault="00D903F2" w:rsidP="00940136">
      <w:pPr>
        <w:spacing w:after="0" w:line="240" w:lineRule="auto"/>
        <w:jc w:val="both"/>
        <w:rPr>
          <w:szCs w:val="24"/>
        </w:rPr>
      </w:pPr>
      <w:r w:rsidRPr="00D03A86">
        <w:rPr>
          <w:szCs w:val="24"/>
        </w:rPr>
        <w:t>If the case study includes examples of good practice, of interest to the EU and other countries, then identify and explain the most promising elements. Please indicate if disabled peoples’ organisations have been involved in developing or evaluating the assessment method.</w:t>
      </w:r>
    </w:p>
    <w:p w14:paraId="1FA28AB4" w14:textId="77777777" w:rsidR="00940136" w:rsidRPr="00D03A86" w:rsidRDefault="00940136" w:rsidP="00940136">
      <w:pPr>
        <w:spacing w:after="0" w:line="240" w:lineRule="auto"/>
        <w:jc w:val="both"/>
        <w:rPr>
          <w:szCs w:val="24"/>
        </w:rPr>
      </w:pPr>
    </w:p>
    <w:p w14:paraId="4D1871A6" w14:textId="39AFEFD6" w:rsidR="00954AFA" w:rsidRPr="00D03A86" w:rsidRDefault="000A1350" w:rsidP="00940136">
      <w:pPr>
        <w:spacing w:after="0" w:line="240" w:lineRule="auto"/>
        <w:jc w:val="both"/>
        <w:rPr>
          <w:szCs w:val="24"/>
        </w:rPr>
      </w:pPr>
      <w:r w:rsidRPr="00D03A86">
        <w:rPr>
          <w:szCs w:val="24"/>
        </w:rPr>
        <w:t xml:space="preserve">The main promising elements of the </w:t>
      </w:r>
      <w:r w:rsidR="00954AFA" w:rsidRPr="00D03A86">
        <w:rPr>
          <w:szCs w:val="24"/>
        </w:rPr>
        <w:t>new legislation concern mainly:</w:t>
      </w:r>
    </w:p>
    <w:p w14:paraId="2D90B36B" w14:textId="77777777" w:rsidR="00940136" w:rsidRPr="00D03A86" w:rsidRDefault="00940136" w:rsidP="00940136">
      <w:pPr>
        <w:spacing w:after="0" w:line="240" w:lineRule="auto"/>
        <w:jc w:val="both"/>
        <w:rPr>
          <w:szCs w:val="24"/>
        </w:rPr>
      </w:pPr>
    </w:p>
    <w:p w14:paraId="3DAD7E2C" w14:textId="498DD91D" w:rsidR="000A1350" w:rsidRPr="00D03A86" w:rsidRDefault="00754ABE" w:rsidP="00940136">
      <w:pPr>
        <w:pStyle w:val="ListParagraph"/>
        <w:numPr>
          <w:ilvl w:val="0"/>
          <w:numId w:val="34"/>
        </w:numPr>
        <w:spacing w:after="0" w:line="240" w:lineRule="auto"/>
        <w:ind w:left="567" w:hanging="567"/>
        <w:jc w:val="both"/>
        <w:rPr>
          <w:szCs w:val="24"/>
        </w:rPr>
      </w:pPr>
      <w:r w:rsidRPr="00D03A86">
        <w:rPr>
          <w:szCs w:val="24"/>
        </w:rPr>
        <w:t>The s</w:t>
      </w:r>
      <w:r w:rsidR="000A1350" w:rsidRPr="00D03A86">
        <w:rPr>
          <w:szCs w:val="24"/>
        </w:rPr>
        <w:t xml:space="preserve">hift of responsibility for assessment and support </w:t>
      </w:r>
      <w:r w:rsidR="00B7253C" w:rsidRPr="00D03A86">
        <w:rPr>
          <w:szCs w:val="24"/>
        </w:rPr>
        <w:t xml:space="preserve">from regional </w:t>
      </w:r>
      <w:r w:rsidR="00F2320A" w:rsidRPr="00D03A86">
        <w:rPr>
          <w:szCs w:val="24"/>
        </w:rPr>
        <w:t xml:space="preserve">support </w:t>
      </w:r>
      <w:r w:rsidR="000D2F89" w:rsidRPr="00D03A86">
        <w:rPr>
          <w:szCs w:val="24"/>
        </w:rPr>
        <w:t>structures</w:t>
      </w:r>
      <w:r w:rsidR="00B7253C" w:rsidRPr="00D03A86">
        <w:rPr>
          <w:szCs w:val="24"/>
        </w:rPr>
        <w:t xml:space="preserve"> to </w:t>
      </w:r>
      <w:r w:rsidR="000A1350" w:rsidRPr="00D03A86">
        <w:rPr>
          <w:szCs w:val="24"/>
        </w:rPr>
        <w:t>school level</w:t>
      </w:r>
      <w:r w:rsidR="00F2320A" w:rsidRPr="00D03A86">
        <w:rPr>
          <w:szCs w:val="24"/>
        </w:rPr>
        <w:t xml:space="preserve"> support structures</w:t>
      </w:r>
      <w:r w:rsidR="000A1350" w:rsidRPr="00D03A86">
        <w:rPr>
          <w:szCs w:val="24"/>
        </w:rPr>
        <w:t xml:space="preserve"> as inextricable part of mainstream education</w:t>
      </w:r>
      <w:r w:rsidR="00A35EA6" w:rsidRPr="00D03A86">
        <w:rPr>
          <w:szCs w:val="24"/>
        </w:rPr>
        <w:t>.</w:t>
      </w:r>
    </w:p>
    <w:p w14:paraId="43CE2B4F" w14:textId="2B5540D3" w:rsidR="000A1350" w:rsidRPr="00D03A86" w:rsidRDefault="000A1350" w:rsidP="00940136">
      <w:pPr>
        <w:pStyle w:val="ListParagraph"/>
        <w:numPr>
          <w:ilvl w:val="0"/>
          <w:numId w:val="34"/>
        </w:numPr>
        <w:spacing w:after="0" w:line="240" w:lineRule="auto"/>
        <w:ind w:left="567" w:hanging="567"/>
        <w:jc w:val="both"/>
        <w:rPr>
          <w:szCs w:val="24"/>
        </w:rPr>
      </w:pPr>
      <w:r w:rsidRPr="00D03A86">
        <w:rPr>
          <w:szCs w:val="24"/>
        </w:rPr>
        <w:t>The function of diagnosis is entirely dismissed. Assessment includes consideration of social and environmental barriers to learning</w:t>
      </w:r>
      <w:r w:rsidR="00A35EA6" w:rsidRPr="00D03A86">
        <w:rPr>
          <w:szCs w:val="24"/>
        </w:rPr>
        <w:t>.</w:t>
      </w:r>
    </w:p>
    <w:p w14:paraId="576060EC" w14:textId="0837BDA1" w:rsidR="000A1350" w:rsidRPr="00D03A86" w:rsidRDefault="000A1350" w:rsidP="00940136">
      <w:pPr>
        <w:pStyle w:val="ListParagraph"/>
        <w:numPr>
          <w:ilvl w:val="0"/>
          <w:numId w:val="34"/>
        </w:numPr>
        <w:spacing w:after="0" w:line="240" w:lineRule="auto"/>
        <w:ind w:left="567" w:hanging="567"/>
        <w:jc w:val="both"/>
        <w:rPr>
          <w:szCs w:val="24"/>
        </w:rPr>
      </w:pPr>
      <w:r w:rsidRPr="00D03A86">
        <w:rPr>
          <w:szCs w:val="24"/>
        </w:rPr>
        <w:t>Interdisciplinary approach to needs assessment and support provision on individual level as well as on school/ educational community level</w:t>
      </w:r>
      <w:r w:rsidR="002C2DE5" w:rsidRPr="00D03A86">
        <w:rPr>
          <w:szCs w:val="24"/>
        </w:rPr>
        <w:t>.</w:t>
      </w:r>
    </w:p>
    <w:p w14:paraId="3658E737" w14:textId="77777777" w:rsidR="00930A68" w:rsidRPr="00D03A86" w:rsidRDefault="000A1350" w:rsidP="00940136">
      <w:pPr>
        <w:pStyle w:val="ListParagraph"/>
        <w:numPr>
          <w:ilvl w:val="0"/>
          <w:numId w:val="34"/>
        </w:numPr>
        <w:spacing w:after="0" w:line="240" w:lineRule="auto"/>
        <w:ind w:left="567" w:hanging="567"/>
        <w:jc w:val="both"/>
        <w:rPr>
          <w:b/>
        </w:rPr>
      </w:pPr>
      <w:r w:rsidRPr="00D03A86">
        <w:t>Explicit referenc</w:t>
      </w:r>
      <w:r w:rsidR="00754ABE" w:rsidRPr="00D03A86">
        <w:t>e to a</w:t>
      </w:r>
      <w:r w:rsidR="002C2DE5" w:rsidRPr="00D03A86">
        <w:t xml:space="preserve"> right based approach to</w:t>
      </w:r>
      <w:r w:rsidRPr="00D03A86">
        <w:t xml:space="preserve"> disability and the UNCRP</w:t>
      </w:r>
      <w:r w:rsidR="00A35EA6" w:rsidRPr="00D03A86">
        <w:t xml:space="preserve">D, </w:t>
      </w:r>
      <w:r w:rsidR="002C2DE5" w:rsidRPr="00D03A86">
        <w:t xml:space="preserve">with prominent emphasis on the goals of </w:t>
      </w:r>
      <w:r w:rsidR="00A35EA6" w:rsidRPr="00D03A86">
        <w:t xml:space="preserve">ensuring </w:t>
      </w:r>
      <w:r w:rsidRPr="00D03A86">
        <w:t>equal access to education and combating ea</w:t>
      </w:r>
      <w:r w:rsidR="002C2DE5" w:rsidRPr="00D03A86">
        <w:t>rly school drop-out.</w:t>
      </w:r>
    </w:p>
    <w:p w14:paraId="389B3ADA" w14:textId="77777777" w:rsidR="00930A68" w:rsidRPr="00D03A86" w:rsidRDefault="00930A68" w:rsidP="00940136">
      <w:pPr>
        <w:pStyle w:val="ListParagraph"/>
        <w:spacing w:after="0" w:line="240" w:lineRule="auto"/>
        <w:jc w:val="both"/>
        <w:rPr>
          <w:b/>
          <w:szCs w:val="24"/>
        </w:rPr>
      </w:pPr>
    </w:p>
    <w:p w14:paraId="218D3483" w14:textId="77777777" w:rsidR="00854397" w:rsidRPr="00D03A86" w:rsidRDefault="00854397">
      <w:pPr>
        <w:rPr>
          <w:rFonts w:eastAsiaTheme="majorEastAsia"/>
          <w:b/>
          <w:bCs/>
          <w:szCs w:val="24"/>
        </w:rPr>
      </w:pPr>
      <w:r w:rsidRPr="00D03A86">
        <w:rPr>
          <w:szCs w:val="24"/>
        </w:rPr>
        <w:br w:type="page"/>
      </w:r>
    </w:p>
    <w:p w14:paraId="3FAD65FD" w14:textId="241054AD" w:rsidR="00EF5208" w:rsidRPr="00D03A86" w:rsidRDefault="00233E3B" w:rsidP="00940136">
      <w:pPr>
        <w:pStyle w:val="Heading1"/>
        <w:jc w:val="both"/>
        <w:rPr>
          <w:szCs w:val="24"/>
          <w:lang w:val="en-GB"/>
        </w:rPr>
      </w:pPr>
      <w:bookmarkStart w:id="21" w:name="_Toc536024027"/>
      <w:r w:rsidRPr="00D03A86">
        <w:rPr>
          <w:szCs w:val="24"/>
          <w:lang w:val="en-GB"/>
        </w:rPr>
        <w:lastRenderedPageBreak/>
        <w:t>Summary and conclusion</w:t>
      </w:r>
      <w:bookmarkEnd w:id="21"/>
    </w:p>
    <w:p w14:paraId="6D746935" w14:textId="62B56559" w:rsidR="007A699C" w:rsidRPr="00D03A86" w:rsidRDefault="007A699C" w:rsidP="00940136">
      <w:pPr>
        <w:spacing w:after="0" w:line="240" w:lineRule="auto"/>
        <w:jc w:val="both"/>
        <w:rPr>
          <w:b/>
          <w:szCs w:val="24"/>
        </w:rPr>
      </w:pPr>
    </w:p>
    <w:p w14:paraId="11897499" w14:textId="77777777" w:rsidR="00673C5E" w:rsidRPr="00D03A86" w:rsidRDefault="00673C5E" w:rsidP="00673C5E">
      <w:pPr>
        <w:spacing w:after="0" w:line="240" w:lineRule="auto"/>
        <w:jc w:val="both"/>
        <w:rPr>
          <w:i/>
          <w:color w:val="4F81BD" w:themeColor="accent1"/>
        </w:rPr>
      </w:pPr>
      <w:bookmarkStart w:id="22" w:name="_Hlk524097287"/>
      <w:r w:rsidRPr="00D03A86">
        <w:rPr>
          <w:i/>
          <w:color w:val="4F81BD" w:themeColor="accent1"/>
        </w:rPr>
        <w:t>Taking an overview of national approaches to disability assessment and including any recommendations. Considering the range of examples identified in Part 1, and the analysis of selected cases in Part 2, please reflect on the extent to which these various assessment systems are integrated (or not). For instance, to what extent are similar application processes, similar assessment methodology, or similar administrative processes used to determine eligibility for different benefits? How could the system in your country become more integrated, cost-effective, or result in an easier applicant journey through the processes? Please also indicate any explicit references to the CRPD in the assessment procedure or whether the CRPD has been taken into account in determining the assessment procedure to be used.</w:t>
      </w:r>
      <w:bookmarkEnd w:id="22"/>
    </w:p>
    <w:p w14:paraId="63FDFFE4" w14:textId="77777777" w:rsidR="00673C5E" w:rsidRPr="00D03A86" w:rsidRDefault="00673C5E" w:rsidP="00940136">
      <w:pPr>
        <w:spacing w:after="0" w:line="240" w:lineRule="auto"/>
        <w:jc w:val="both"/>
        <w:rPr>
          <w:b/>
          <w:szCs w:val="24"/>
        </w:rPr>
      </w:pPr>
    </w:p>
    <w:p w14:paraId="12386C92" w14:textId="523B679B" w:rsidR="00214951" w:rsidRPr="00D03A86" w:rsidRDefault="00214951" w:rsidP="00940136">
      <w:pPr>
        <w:spacing w:after="0" w:line="240" w:lineRule="auto"/>
        <w:jc w:val="both"/>
        <w:rPr>
          <w:szCs w:val="24"/>
        </w:rPr>
      </w:pPr>
      <w:r w:rsidRPr="00D03A86">
        <w:rPr>
          <w:szCs w:val="24"/>
        </w:rPr>
        <w:t xml:space="preserve">In brief, the current </w:t>
      </w:r>
      <w:r w:rsidR="005910BF" w:rsidRPr="00D03A86">
        <w:rPr>
          <w:szCs w:val="24"/>
        </w:rPr>
        <w:t>streamlined disability assessment system in Greece certifies disability status for any legal purpose and</w:t>
      </w:r>
      <w:r w:rsidRPr="00D03A86">
        <w:rPr>
          <w:szCs w:val="24"/>
        </w:rPr>
        <w:t xml:space="preserve"> in that respect</w:t>
      </w:r>
      <w:r w:rsidR="005910BF" w:rsidRPr="00D03A86">
        <w:rPr>
          <w:szCs w:val="24"/>
        </w:rPr>
        <w:t xml:space="preserve"> is</w:t>
      </w:r>
      <w:r w:rsidRPr="00D03A86">
        <w:rPr>
          <w:szCs w:val="24"/>
        </w:rPr>
        <w:t xml:space="preserve"> cost effective and</w:t>
      </w:r>
      <w:r w:rsidR="005910BF" w:rsidRPr="00D03A86">
        <w:rPr>
          <w:szCs w:val="24"/>
        </w:rPr>
        <w:t xml:space="preserve"> easy to access</w:t>
      </w:r>
      <w:r w:rsidR="007A699C" w:rsidRPr="00D03A86">
        <w:rPr>
          <w:szCs w:val="24"/>
        </w:rPr>
        <w:t xml:space="preserve"> for various related provisions</w:t>
      </w:r>
      <w:r w:rsidR="005910BF" w:rsidRPr="00D03A86">
        <w:rPr>
          <w:szCs w:val="24"/>
        </w:rPr>
        <w:t xml:space="preserve">. </w:t>
      </w:r>
      <w:r w:rsidRPr="00D03A86">
        <w:rPr>
          <w:szCs w:val="24"/>
        </w:rPr>
        <w:t>It is however relying heavily on a medical model of disability.</w:t>
      </w:r>
    </w:p>
    <w:p w14:paraId="23F8FC00" w14:textId="77777777" w:rsidR="0055117D" w:rsidRPr="00D03A86" w:rsidRDefault="0055117D" w:rsidP="00940136">
      <w:pPr>
        <w:spacing w:after="0" w:line="240" w:lineRule="auto"/>
        <w:jc w:val="both"/>
        <w:rPr>
          <w:szCs w:val="24"/>
        </w:rPr>
      </w:pPr>
    </w:p>
    <w:p w14:paraId="36FBC3D8" w14:textId="46FD0B6F" w:rsidR="00145DFD" w:rsidRPr="00D03A86" w:rsidRDefault="00214951" w:rsidP="00940136">
      <w:pPr>
        <w:spacing w:after="0" w:line="240" w:lineRule="auto"/>
        <w:jc w:val="both"/>
        <w:rPr>
          <w:szCs w:val="24"/>
        </w:rPr>
      </w:pPr>
      <w:r w:rsidRPr="00D03A86">
        <w:rPr>
          <w:szCs w:val="24"/>
        </w:rPr>
        <w:t>The a</w:t>
      </w:r>
      <w:r w:rsidR="00E72168" w:rsidRPr="00D03A86">
        <w:rPr>
          <w:szCs w:val="24"/>
        </w:rPr>
        <w:t xml:space="preserve">ssessment method </w:t>
      </w:r>
      <w:r w:rsidR="00145DFD" w:rsidRPr="00D03A86">
        <w:rPr>
          <w:szCs w:val="24"/>
        </w:rPr>
        <w:t>(</w:t>
      </w:r>
      <w:proofErr w:type="spellStart"/>
      <w:r w:rsidR="00145DFD" w:rsidRPr="00D03A86">
        <w:rPr>
          <w:szCs w:val="24"/>
        </w:rPr>
        <w:t>Barema</w:t>
      </w:r>
      <w:proofErr w:type="spellEnd"/>
      <w:r w:rsidR="00145DFD" w:rsidRPr="00D03A86">
        <w:rPr>
          <w:szCs w:val="24"/>
        </w:rPr>
        <w:t>)</w:t>
      </w:r>
      <w:r w:rsidRPr="00D03A86">
        <w:rPr>
          <w:szCs w:val="24"/>
        </w:rPr>
        <w:t xml:space="preserve"> which has been invariably used since the 1990s</w:t>
      </w:r>
      <w:r w:rsidR="00145DFD" w:rsidRPr="00D03A86">
        <w:rPr>
          <w:szCs w:val="24"/>
        </w:rPr>
        <w:t xml:space="preserve"> </w:t>
      </w:r>
      <w:r w:rsidR="005157A6" w:rsidRPr="00D03A86">
        <w:rPr>
          <w:szCs w:val="24"/>
        </w:rPr>
        <w:t xml:space="preserve">is arguably rather arbitrary </w:t>
      </w:r>
      <w:r w:rsidR="007A699C" w:rsidRPr="00D03A86">
        <w:rPr>
          <w:szCs w:val="24"/>
        </w:rPr>
        <w:t xml:space="preserve">and </w:t>
      </w:r>
      <w:r w:rsidR="00145DFD" w:rsidRPr="00D03A86">
        <w:rPr>
          <w:szCs w:val="24"/>
        </w:rPr>
        <w:t xml:space="preserve">prone to “creative” use </w:t>
      </w:r>
      <w:r w:rsidRPr="00D03A86">
        <w:rPr>
          <w:szCs w:val="24"/>
        </w:rPr>
        <w:t>(Pavli 2017) depending on</w:t>
      </w:r>
      <w:r w:rsidR="00145DFD" w:rsidRPr="00D03A86">
        <w:rPr>
          <w:szCs w:val="24"/>
        </w:rPr>
        <w:t xml:space="preserve"> politi</w:t>
      </w:r>
      <w:r w:rsidR="00A27A0A" w:rsidRPr="00D03A86">
        <w:rPr>
          <w:szCs w:val="24"/>
        </w:rPr>
        <w:t xml:space="preserve">cal </w:t>
      </w:r>
      <w:r w:rsidR="00E93BAF" w:rsidRPr="00D03A86">
        <w:rPr>
          <w:szCs w:val="24"/>
        </w:rPr>
        <w:t xml:space="preserve">agendas, </w:t>
      </w:r>
      <w:r w:rsidR="00A27A0A" w:rsidRPr="00D03A86">
        <w:rPr>
          <w:szCs w:val="24"/>
        </w:rPr>
        <w:t>auster</w:t>
      </w:r>
      <w:r w:rsidR="00E93BAF" w:rsidRPr="00D03A86">
        <w:rPr>
          <w:szCs w:val="24"/>
        </w:rPr>
        <w:t xml:space="preserve">ity being a prominent pressure </w:t>
      </w:r>
      <w:r w:rsidRPr="00D03A86">
        <w:rPr>
          <w:szCs w:val="24"/>
        </w:rPr>
        <w:t>in the current economic context</w:t>
      </w:r>
      <w:r w:rsidR="00145DFD" w:rsidRPr="00D03A86">
        <w:rPr>
          <w:szCs w:val="24"/>
        </w:rPr>
        <w:t xml:space="preserve">. </w:t>
      </w:r>
    </w:p>
    <w:p w14:paraId="45F0B5F5" w14:textId="77777777" w:rsidR="00F8075D" w:rsidRPr="00D03A86" w:rsidRDefault="00F8075D" w:rsidP="00940136">
      <w:pPr>
        <w:spacing w:after="0" w:line="240" w:lineRule="auto"/>
        <w:jc w:val="both"/>
        <w:rPr>
          <w:szCs w:val="24"/>
        </w:rPr>
      </w:pPr>
    </w:p>
    <w:p w14:paraId="3371AABE" w14:textId="0C1D1B46" w:rsidR="00BB7C14" w:rsidRPr="00D03A86" w:rsidRDefault="002760A3" w:rsidP="00940136">
      <w:pPr>
        <w:spacing w:after="0" w:line="240" w:lineRule="auto"/>
        <w:jc w:val="both"/>
        <w:rPr>
          <w:szCs w:val="24"/>
        </w:rPr>
      </w:pPr>
      <w:r w:rsidRPr="00D03A86">
        <w:rPr>
          <w:szCs w:val="24"/>
        </w:rPr>
        <w:t xml:space="preserve">Despite active disability lobbying </w:t>
      </w:r>
      <w:r w:rsidR="00BB7C14" w:rsidRPr="00D03A86">
        <w:rPr>
          <w:szCs w:val="24"/>
        </w:rPr>
        <w:t xml:space="preserve">during the </w:t>
      </w:r>
      <w:r w:rsidRPr="00D03A86">
        <w:rPr>
          <w:szCs w:val="24"/>
        </w:rPr>
        <w:t xml:space="preserve">development and </w:t>
      </w:r>
      <w:r w:rsidR="00BB7C14" w:rsidRPr="00D03A86">
        <w:rPr>
          <w:szCs w:val="24"/>
        </w:rPr>
        <w:t>implementation of the current assessment system, the</w:t>
      </w:r>
      <w:r w:rsidR="00145DFD" w:rsidRPr="00D03A86">
        <w:rPr>
          <w:szCs w:val="24"/>
        </w:rPr>
        <w:t xml:space="preserve"> method </w:t>
      </w:r>
      <w:r w:rsidR="006A5EA3" w:rsidRPr="00D03A86">
        <w:rPr>
          <w:szCs w:val="24"/>
        </w:rPr>
        <w:t xml:space="preserve">used </w:t>
      </w:r>
      <w:r w:rsidR="00BB7C14" w:rsidRPr="00D03A86">
        <w:rPr>
          <w:szCs w:val="24"/>
        </w:rPr>
        <w:t xml:space="preserve">has </w:t>
      </w:r>
      <w:r w:rsidR="00E72168" w:rsidRPr="00D03A86">
        <w:rPr>
          <w:szCs w:val="24"/>
        </w:rPr>
        <w:t xml:space="preserve">not </w:t>
      </w:r>
      <w:r w:rsidR="00BB7C14" w:rsidRPr="00D03A86">
        <w:rPr>
          <w:szCs w:val="24"/>
        </w:rPr>
        <w:t xml:space="preserve">been </w:t>
      </w:r>
      <w:r w:rsidR="00E72168" w:rsidRPr="00D03A86">
        <w:rPr>
          <w:szCs w:val="24"/>
        </w:rPr>
        <w:t xml:space="preserve">critically </w:t>
      </w:r>
      <w:r w:rsidR="00BB7C14" w:rsidRPr="00D03A86">
        <w:rPr>
          <w:szCs w:val="24"/>
        </w:rPr>
        <w:t>e</w:t>
      </w:r>
      <w:r w:rsidR="006A5EA3" w:rsidRPr="00D03A86">
        <w:rPr>
          <w:szCs w:val="24"/>
        </w:rPr>
        <w:t>valuated in the light of the UN</w:t>
      </w:r>
      <w:r w:rsidR="00BB7C14" w:rsidRPr="00D03A86">
        <w:rPr>
          <w:szCs w:val="24"/>
        </w:rPr>
        <w:t xml:space="preserve">CRPD. The focus on impairment and individual functionality </w:t>
      </w:r>
      <w:r w:rsidR="00FE0916" w:rsidRPr="00D03A86">
        <w:rPr>
          <w:szCs w:val="24"/>
        </w:rPr>
        <w:t xml:space="preserve">has therefore effectively been </w:t>
      </w:r>
      <w:r w:rsidR="00BB7C14" w:rsidRPr="00D03A86">
        <w:rPr>
          <w:szCs w:val="24"/>
        </w:rPr>
        <w:t xml:space="preserve">maintained </w:t>
      </w:r>
      <w:r w:rsidR="006A5EA3" w:rsidRPr="00D03A86">
        <w:rPr>
          <w:szCs w:val="24"/>
        </w:rPr>
        <w:t xml:space="preserve">by disability organisations </w:t>
      </w:r>
      <w:r w:rsidR="00BB7C14" w:rsidRPr="00D03A86">
        <w:rPr>
          <w:szCs w:val="24"/>
        </w:rPr>
        <w:t>in discussing assessment for eligibility to disa</w:t>
      </w:r>
      <w:r w:rsidR="00F8075D" w:rsidRPr="00D03A86">
        <w:rPr>
          <w:szCs w:val="24"/>
        </w:rPr>
        <w:t xml:space="preserve">bility pensions and benefits. </w:t>
      </w:r>
    </w:p>
    <w:p w14:paraId="53AC1303" w14:textId="77777777" w:rsidR="00F8075D" w:rsidRPr="00D03A86" w:rsidRDefault="00F8075D" w:rsidP="00940136">
      <w:pPr>
        <w:spacing w:after="0" w:line="240" w:lineRule="auto"/>
        <w:jc w:val="both"/>
        <w:rPr>
          <w:szCs w:val="24"/>
        </w:rPr>
      </w:pPr>
    </w:p>
    <w:p w14:paraId="13842627" w14:textId="0B6237FB" w:rsidR="00F545E5" w:rsidRPr="00D03A86" w:rsidRDefault="00C36EF6" w:rsidP="00940136">
      <w:pPr>
        <w:spacing w:after="0" w:line="240" w:lineRule="auto"/>
        <w:jc w:val="both"/>
        <w:rPr>
          <w:szCs w:val="24"/>
        </w:rPr>
      </w:pPr>
      <w:r w:rsidRPr="00D03A86">
        <w:rPr>
          <w:szCs w:val="24"/>
        </w:rPr>
        <w:t>T</w:t>
      </w:r>
      <w:r w:rsidR="00BB7C14" w:rsidRPr="00D03A86">
        <w:rPr>
          <w:szCs w:val="24"/>
        </w:rPr>
        <w:t>he perceived threat of benefit cuts seems in this respect to be limiting the possibility of revisiting the method of assessment itself.</w:t>
      </w:r>
      <w:r w:rsidR="00AA7A1D" w:rsidRPr="00D03A86">
        <w:rPr>
          <w:szCs w:val="24"/>
        </w:rPr>
        <w:t xml:space="preserve"> Shifting to a</w:t>
      </w:r>
      <w:r w:rsidR="00F545E5" w:rsidRPr="00D03A86">
        <w:rPr>
          <w:szCs w:val="24"/>
        </w:rPr>
        <w:t xml:space="preserve"> disability assessment</w:t>
      </w:r>
      <w:r w:rsidR="007A699C" w:rsidRPr="00D03A86">
        <w:rPr>
          <w:szCs w:val="24"/>
        </w:rPr>
        <w:t xml:space="preserve"> </w:t>
      </w:r>
      <w:r w:rsidR="00AA7A1D" w:rsidRPr="00D03A86">
        <w:rPr>
          <w:szCs w:val="24"/>
        </w:rPr>
        <w:t xml:space="preserve">more compatible with the UN CRPD, would also in the author’s view </w:t>
      </w:r>
      <w:r w:rsidR="0013257E" w:rsidRPr="00D03A86">
        <w:rPr>
          <w:szCs w:val="24"/>
        </w:rPr>
        <w:t>require revisiting</w:t>
      </w:r>
      <w:r w:rsidRPr="00D03A86">
        <w:rPr>
          <w:szCs w:val="24"/>
        </w:rPr>
        <w:t xml:space="preserve"> and clarifying</w:t>
      </w:r>
      <w:r w:rsidR="007A699C" w:rsidRPr="00D03A86">
        <w:rPr>
          <w:szCs w:val="24"/>
        </w:rPr>
        <w:t xml:space="preserve"> </w:t>
      </w:r>
      <w:r w:rsidR="00F545E5" w:rsidRPr="00D03A86">
        <w:rPr>
          <w:szCs w:val="24"/>
        </w:rPr>
        <w:t>its purpose as</w:t>
      </w:r>
      <w:r w:rsidR="007A699C" w:rsidRPr="00D03A86">
        <w:rPr>
          <w:szCs w:val="24"/>
        </w:rPr>
        <w:t xml:space="preserve"> linked </w:t>
      </w:r>
      <w:r w:rsidR="00F545E5" w:rsidRPr="00D03A86">
        <w:rPr>
          <w:szCs w:val="24"/>
        </w:rPr>
        <w:t xml:space="preserve">to </w:t>
      </w:r>
      <w:r w:rsidR="007A699C" w:rsidRPr="00D03A86">
        <w:rPr>
          <w:szCs w:val="24"/>
        </w:rPr>
        <w:t xml:space="preserve">provisions, </w:t>
      </w:r>
      <w:r w:rsidRPr="00D03A86">
        <w:rPr>
          <w:szCs w:val="24"/>
        </w:rPr>
        <w:t>for instance, whether it</w:t>
      </w:r>
      <w:r w:rsidR="007A699C" w:rsidRPr="00D03A86">
        <w:rPr>
          <w:szCs w:val="24"/>
        </w:rPr>
        <w:t xml:space="preserve"> is </w:t>
      </w:r>
      <w:r w:rsidR="0013257E" w:rsidRPr="00D03A86">
        <w:rPr>
          <w:szCs w:val="24"/>
        </w:rPr>
        <w:t>capacity</w:t>
      </w:r>
      <w:r w:rsidR="007A699C" w:rsidRPr="00D03A86">
        <w:rPr>
          <w:szCs w:val="24"/>
        </w:rPr>
        <w:t xml:space="preserve"> </w:t>
      </w:r>
      <w:r w:rsidRPr="00D03A86">
        <w:rPr>
          <w:szCs w:val="24"/>
        </w:rPr>
        <w:t xml:space="preserve">to work/ </w:t>
      </w:r>
      <w:r w:rsidR="007A699C" w:rsidRPr="00D03A86">
        <w:rPr>
          <w:szCs w:val="24"/>
        </w:rPr>
        <w:t xml:space="preserve">support needs for employment, or </w:t>
      </w:r>
      <w:r w:rsidR="0013257E" w:rsidRPr="00D03A86">
        <w:rPr>
          <w:szCs w:val="24"/>
        </w:rPr>
        <w:t>personal assistance</w:t>
      </w:r>
      <w:r w:rsidR="007A699C" w:rsidRPr="00D03A86">
        <w:rPr>
          <w:szCs w:val="24"/>
        </w:rPr>
        <w:t xml:space="preserve"> needs/ extra disability costs that are being assessed</w:t>
      </w:r>
      <w:r w:rsidR="00AA7A1D" w:rsidRPr="00D03A86">
        <w:rPr>
          <w:szCs w:val="24"/>
        </w:rPr>
        <w:t xml:space="preserve">, </w:t>
      </w:r>
      <w:r w:rsidR="0013257E" w:rsidRPr="00D03A86">
        <w:rPr>
          <w:szCs w:val="24"/>
        </w:rPr>
        <w:t xml:space="preserve">which is </w:t>
      </w:r>
      <w:r w:rsidRPr="00D03A86">
        <w:rPr>
          <w:szCs w:val="24"/>
        </w:rPr>
        <w:t>missed</w:t>
      </w:r>
      <w:r w:rsidR="007A699C" w:rsidRPr="00D03A86">
        <w:rPr>
          <w:szCs w:val="24"/>
        </w:rPr>
        <w:t xml:space="preserve"> </w:t>
      </w:r>
      <w:r w:rsidR="0013257E" w:rsidRPr="00D03A86">
        <w:rPr>
          <w:szCs w:val="24"/>
        </w:rPr>
        <w:t>in this streamlined approach</w:t>
      </w:r>
      <w:r w:rsidR="00AA7A1D" w:rsidRPr="00D03A86">
        <w:rPr>
          <w:szCs w:val="24"/>
        </w:rPr>
        <w:t xml:space="preserve">. </w:t>
      </w:r>
    </w:p>
    <w:p w14:paraId="520A3C26" w14:textId="77777777" w:rsidR="00F8075D" w:rsidRPr="00D03A86" w:rsidRDefault="00F8075D" w:rsidP="00940136">
      <w:pPr>
        <w:spacing w:after="0" w:line="240" w:lineRule="auto"/>
        <w:jc w:val="both"/>
        <w:rPr>
          <w:szCs w:val="24"/>
        </w:rPr>
      </w:pPr>
    </w:p>
    <w:p w14:paraId="273A775B" w14:textId="62B4DFE1" w:rsidR="004A019B" w:rsidRPr="00D03A86" w:rsidRDefault="004A019B" w:rsidP="00940136">
      <w:pPr>
        <w:spacing w:after="0" w:line="240" w:lineRule="auto"/>
        <w:jc w:val="both"/>
        <w:rPr>
          <w:szCs w:val="24"/>
        </w:rPr>
      </w:pPr>
      <w:r w:rsidRPr="00D03A86">
        <w:rPr>
          <w:szCs w:val="24"/>
        </w:rPr>
        <w:t xml:space="preserve">At the same time, </w:t>
      </w:r>
      <w:r w:rsidR="007A699C" w:rsidRPr="00D03A86">
        <w:rPr>
          <w:szCs w:val="24"/>
        </w:rPr>
        <w:t xml:space="preserve">such an assessment approach should coexist with parallel </w:t>
      </w:r>
      <w:r w:rsidRPr="00D03A86">
        <w:rPr>
          <w:szCs w:val="24"/>
        </w:rPr>
        <w:t xml:space="preserve">efforts </w:t>
      </w:r>
      <w:r w:rsidR="007A699C" w:rsidRPr="00D03A86">
        <w:rPr>
          <w:szCs w:val="24"/>
        </w:rPr>
        <w:t xml:space="preserve">in enabling social </w:t>
      </w:r>
      <w:r w:rsidR="00C36EF6" w:rsidRPr="00D03A86">
        <w:rPr>
          <w:szCs w:val="24"/>
        </w:rPr>
        <w:t xml:space="preserve">participation through </w:t>
      </w:r>
      <w:r w:rsidR="007A699C" w:rsidRPr="00D03A86">
        <w:rPr>
          <w:szCs w:val="24"/>
        </w:rPr>
        <w:t>accessibility</w:t>
      </w:r>
      <w:r w:rsidR="00C36EF6" w:rsidRPr="00D03A86">
        <w:rPr>
          <w:szCs w:val="24"/>
        </w:rPr>
        <w:t xml:space="preserve"> across sectors</w:t>
      </w:r>
      <w:r w:rsidR="007A699C" w:rsidRPr="00D03A86">
        <w:rPr>
          <w:szCs w:val="24"/>
        </w:rPr>
        <w:t>. At the moment, n</w:t>
      </w:r>
      <w:r w:rsidRPr="00D03A86">
        <w:rPr>
          <w:szCs w:val="24"/>
        </w:rPr>
        <w:t>o disability targets or action plan</w:t>
      </w:r>
      <w:r w:rsidR="007A699C" w:rsidRPr="00D03A86">
        <w:rPr>
          <w:szCs w:val="24"/>
        </w:rPr>
        <w:t>s</w:t>
      </w:r>
      <w:r w:rsidRPr="00D03A86">
        <w:rPr>
          <w:szCs w:val="24"/>
        </w:rPr>
        <w:t xml:space="preserve"> </w:t>
      </w:r>
      <w:r w:rsidR="00C36EF6" w:rsidRPr="00D03A86">
        <w:rPr>
          <w:szCs w:val="24"/>
        </w:rPr>
        <w:t xml:space="preserve">as </w:t>
      </w:r>
      <w:r w:rsidR="007A699C" w:rsidRPr="00D03A86">
        <w:rPr>
          <w:szCs w:val="24"/>
        </w:rPr>
        <w:t>foreseen under the UNCRPD implementation framework</w:t>
      </w:r>
      <w:r w:rsidR="007A699C" w:rsidRPr="00D03A86">
        <w:rPr>
          <w:rStyle w:val="FootnoteReference"/>
          <w:szCs w:val="24"/>
        </w:rPr>
        <w:footnoteReference w:id="48"/>
      </w:r>
      <w:r w:rsidR="007A699C" w:rsidRPr="00D03A86">
        <w:rPr>
          <w:szCs w:val="24"/>
        </w:rPr>
        <w:t xml:space="preserve"> </w:t>
      </w:r>
      <w:r w:rsidR="00F545E5" w:rsidRPr="00D03A86">
        <w:rPr>
          <w:szCs w:val="24"/>
        </w:rPr>
        <w:t xml:space="preserve">for instance, </w:t>
      </w:r>
      <w:r w:rsidR="007A699C" w:rsidRPr="00D03A86">
        <w:rPr>
          <w:szCs w:val="24"/>
        </w:rPr>
        <w:t>are being discussed</w:t>
      </w:r>
      <w:r w:rsidR="000563E0" w:rsidRPr="00D03A86">
        <w:rPr>
          <w:szCs w:val="24"/>
        </w:rPr>
        <w:t>. Any</w:t>
      </w:r>
      <w:r w:rsidR="0019576C" w:rsidRPr="00D03A86">
        <w:rPr>
          <w:szCs w:val="24"/>
        </w:rPr>
        <w:t xml:space="preserve"> current</w:t>
      </w:r>
      <w:r w:rsidR="000563E0" w:rsidRPr="00D03A86">
        <w:rPr>
          <w:szCs w:val="24"/>
        </w:rPr>
        <w:t xml:space="preserve"> assessment of individual</w:t>
      </w:r>
      <w:r w:rsidR="00C36EF6" w:rsidRPr="00D03A86">
        <w:rPr>
          <w:szCs w:val="24"/>
        </w:rPr>
        <w:t xml:space="preserve"> “functionality”</w:t>
      </w:r>
      <w:r w:rsidR="000563E0" w:rsidRPr="00D03A86">
        <w:rPr>
          <w:szCs w:val="24"/>
        </w:rPr>
        <w:t xml:space="preserve"> without reference to existing environmental barriers</w:t>
      </w:r>
      <w:r w:rsidR="0019576C" w:rsidRPr="00D03A86">
        <w:rPr>
          <w:szCs w:val="24"/>
        </w:rPr>
        <w:t xml:space="preserve"> would indeed have serious consequences for the socia</w:t>
      </w:r>
      <w:r w:rsidR="00F8075D" w:rsidRPr="00D03A86">
        <w:rPr>
          <w:szCs w:val="24"/>
        </w:rPr>
        <w:t>l inclusion of disabled people.</w:t>
      </w:r>
    </w:p>
    <w:p w14:paraId="4FFDB59F" w14:textId="77777777" w:rsidR="00F8075D" w:rsidRPr="00D03A86" w:rsidRDefault="00F8075D" w:rsidP="00940136">
      <w:pPr>
        <w:spacing w:after="0" w:line="240" w:lineRule="auto"/>
        <w:jc w:val="both"/>
        <w:rPr>
          <w:szCs w:val="24"/>
        </w:rPr>
      </w:pPr>
    </w:p>
    <w:p w14:paraId="11C97C55" w14:textId="79BED214" w:rsidR="00D903F2" w:rsidRPr="00CF2B9E" w:rsidRDefault="008B0D77" w:rsidP="00940136">
      <w:pPr>
        <w:spacing w:after="0" w:line="240" w:lineRule="auto"/>
        <w:jc w:val="both"/>
        <w:rPr>
          <w:szCs w:val="24"/>
        </w:rPr>
      </w:pPr>
      <w:r w:rsidRPr="00D03A86">
        <w:rPr>
          <w:szCs w:val="24"/>
        </w:rPr>
        <w:t xml:space="preserve">A more promising practice is emerging with the restructuring of assessment and support procedures in primary and secondary education, which </w:t>
      </w:r>
      <w:r w:rsidR="00824BA0" w:rsidRPr="00D03A86">
        <w:rPr>
          <w:szCs w:val="24"/>
        </w:rPr>
        <w:t xml:space="preserve">overall shifts </w:t>
      </w:r>
      <w:r w:rsidR="00244237" w:rsidRPr="00D03A86">
        <w:rPr>
          <w:szCs w:val="24"/>
        </w:rPr>
        <w:t xml:space="preserve">the </w:t>
      </w:r>
      <w:r w:rsidR="00824BA0" w:rsidRPr="00D03A86">
        <w:rPr>
          <w:szCs w:val="24"/>
        </w:rPr>
        <w:t xml:space="preserve">responsibility of needs assessment and support </w:t>
      </w:r>
      <w:r w:rsidR="00244237" w:rsidRPr="00D03A86">
        <w:rPr>
          <w:szCs w:val="24"/>
        </w:rPr>
        <w:t>from special to</w:t>
      </w:r>
      <w:r w:rsidR="00824BA0" w:rsidRPr="00D03A86">
        <w:rPr>
          <w:szCs w:val="24"/>
        </w:rPr>
        <w:t xml:space="preserve"> mainstream </w:t>
      </w:r>
      <w:r w:rsidR="00244237" w:rsidRPr="00D03A86">
        <w:rPr>
          <w:szCs w:val="24"/>
        </w:rPr>
        <w:t>structures</w:t>
      </w:r>
      <w:r w:rsidR="00824BA0" w:rsidRPr="00D03A86">
        <w:rPr>
          <w:szCs w:val="24"/>
        </w:rPr>
        <w:t xml:space="preserve">, </w:t>
      </w:r>
      <w:r w:rsidR="00244237" w:rsidRPr="00D03A86">
        <w:rPr>
          <w:szCs w:val="24"/>
        </w:rPr>
        <w:t xml:space="preserve">substitutes </w:t>
      </w:r>
      <w:r w:rsidR="00824BA0" w:rsidRPr="00D03A86">
        <w:rPr>
          <w:szCs w:val="24"/>
        </w:rPr>
        <w:t>diagnos</w:t>
      </w:r>
      <w:r w:rsidR="00244237" w:rsidRPr="00D03A86">
        <w:rPr>
          <w:szCs w:val="24"/>
        </w:rPr>
        <w:t>tic with</w:t>
      </w:r>
      <w:r w:rsidR="00824BA0" w:rsidRPr="00D03A86">
        <w:rPr>
          <w:szCs w:val="24"/>
        </w:rPr>
        <w:t xml:space="preserve"> a more holistic assessment</w:t>
      </w:r>
      <w:r w:rsidR="00244237" w:rsidRPr="00D03A86">
        <w:rPr>
          <w:szCs w:val="24"/>
        </w:rPr>
        <w:t>, and</w:t>
      </w:r>
      <w:r w:rsidR="00824BA0" w:rsidRPr="00D03A86">
        <w:rPr>
          <w:szCs w:val="24"/>
        </w:rPr>
        <w:t xml:space="preserve"> </w:t>
      </w:r>
      <w:r w:rsidR="00A779C3" w:rsidRPr="00D03A86">
        <w:rPr>
          <w:szCs w:val="24"/>
        </w:rPr>
        <w:t xml:space="preserve">places </w:t>
      </w:r>
      <w:r w:rsidR="006035A2" w:rsidRPr="00D03A86">
        <w:rPr>
          <w:szCs w:val="24"/>
        </w:rPr>
        <w:t xml:space="preserve">interventions </w:t>
      </w:r>
      <w:r w:rsidR="00A779C3" w:rsidRPr="00D03A86">
        <w:rPr>
          <w:szCs w:val="24"/>
        </w:rPr>
        <w:t>on the level of the school and of the educational community as a whole.</w:t>
      </w:r>
    </w:p>
    <w:sectPr w:rsidR="00D903F2" w:rsidRPr="00CF2B9E" w:rsidSect="00410AE7">
      <w:headerReference w:type="default" r:id="rId13"/>
      <w:footerReference w:type="default" r:id="rId14"/>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1A358" w14:textId="77777777" w:rsidR="00D35F94" w:rsidRDefault="00D35F94" w:rsidP="00EF5208">
      <w:r>
        <w:separator/>
      </w:r>
    </w:p>
  </w:endnote>
  <w:endnote w:type="continuationSeparator" w:id="0">
    <w:p w14:paraId="17E07D95" w14:textId="77777777" w:rsidR="00D35F94" w:rsidRDefault="00D35F94" w:rsidP="00EF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62986"/>
      <w:docPartObj>
        <w:docPartGallery w:val="Page Numbers (Bottom of Page)"/>
        <w:docPartUnique/>
      </w:docPartObj>
    </w:sdtPr>
    <w:sdtEndPr>
      <w:rPr>
        <w:noProof/>
      </w:rPr>
    </w:sdtEndPr>
    <w:sdtContent>
      <w:p w14:paraId="5027DF9D" w14:textId="340C71FC" w:rsidR="00D35F94" w:rsidRDefault="00D35F94" w:rsidP="00EA22D7">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073B7" w14:textId="77777777" w:rsidR="00D35F94" w:rsidRDefault="00D35F94" w:rsidP="00A84BB4">
      <w:pPr>
        <w:spacing w:after="0" w:line="240" w:lineRule="auto"/>
      </w:pPr>
      <w:r>
        <w:separator/>
      </w:r>
    </w:p>
  </w:footnote>
  <w:footnote w:type="continuationSeparator" w:id="0">
    <w:p w14:paraId="60F27A2A" w14:textId="77777777" w:rsidR="00D35F94" w:rsidRDefault="00D35F94" w:rsidP="00A84BB4">
      <w:pPr>
        <w:spacing w:after="0" w:line="240" w:lineRule="auto"/>
      </w:pPr>
      <w:r>
        <w:continuationSeparator/>
      </w:r>
    </w:p>
  </w:footnote>
  <w:footnote w:type="continuationNotice" w:id="1">
    <w:p w14:paraId="7612B0E8" w14:textId="77777777" w:rsidR="00D35F94" w:rsidRPr="00A84BB4" w:rsidRDefault="00D35F94">
      <w:pPr>
        <w:spacing w:after="0" w:line="240" w:lineRule="auto"/>
        <w:rPr>
          <w:sz w:val="2"/>
          <w:szCs w:val="2"/>
        </w:rPr>
      </w:pPr>
    </w:p>
  </w:footnote>
  <w:footnote w:id="2">
    <w:p w14:paraId="70DD136A" w14:textId="00706481"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r w:rsidRPr="00854397">
        <w:rPr>
          <w:rStyle w:val="FootnoteRMChar"/>
          <w:b/>
        </w:rPr>
        <w:t>Acknowledgement</w:t>
      </w:r>
      <w:r w:rsidRPr="00854397">
        <w:rPr>
          <w:rStyle w:val="FootnoteRMChar"/>
        </w:rPr>
        <w:t xml:space="preserve">: Special thanks to Antonia Pavli for sharing her recently completed PhD Thesis (2017) Creative Disability Classification Systems: The Case of Greece 1990-2015 Swedish Institute for Disability Research, Orebro University. The thesis constitutes a unique account of the development of disability assessment procedures in Greece from early stages to the current modernized form, shedding light on what has been indeed a “black box” so far. Antonia Pavli’s research importantly includes interviews with the primary agents involved in the development of various administrative processes constructed periodically, showing at the same time the sensitivity of disability assessment systems to political pressures on national and European level. The full text is available at </w:t>
      </w:r>
      <w:hyperlink r:id="rId1" w:history="1">
        <w:r w:rsidRPr="00854397">
          <w:rPr>
            <w:rStyle w:val="Hyperlink"/>
            <w:lang w:val="en-GB"/>
          </w:rPr>
          <w:t>http://www.diva-portal.org/smash/get/diva2:1098338/FULLTEXT01.pdf</w:t>
        </w:r>
      </w:hyperlink>
      <w:r w:rsidRPr="00854397">
        <w:rPr>
          <w:lang w:val="en-GB"/>
        </w:rPr>
        <w:t>.</w:t>
      </w:r>
    </w:p>
  </w:footnote>
  <w:footnote w:id="3">
    <w:p w14:paraId="2946FD8B" w14:textId="4BCABD4C"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Educational Draft Law “Reform of Support Structures in Primary and Secondary Education” (Public Consultation March 2018) </w:t>
      </w:r>
      <w:hyperlink r:id="rId2" w:history="1">
        <w:r w:rsidRPr="00854397">
          <w:rPr>
            <w:rStyle w:val="Hyperlink"/>
            <w:lang w:val="en-GB"/>
          </w:rPr>
          <w:t>http://www.opengov.gr/ypepth/wp-content/uploads/downloads/2018/03/ypepth.pdf</w:t>
        </w:r>
      </w:hyperlink>
      <w:r w:rsidRPr="00854397">
        <w:rPr>
          <w:rStyle w:val="Hyperlink"/>
          <w:u w:val="none"/>
          <w:lang w:val="en-GB"/>
        </w:rPr>
        <w:t>.</w:t>
      </w:r>
    </w:p>
  </w:footnote>
  <w:footnote w:id="4">
    <w:p w14:paraId="2FFC8723" w14:textId="62879D0A"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r w:rsidRPr="00854397">
        <w:rPr>
          <w:rStyle w:val="Hyperlink"/>
          <w:lang w:val="en-GB"/>
        </w:rPr>
        <w:t>https://www.efka.gov.gr/el</w:t>
      </w:r>
      <w:r w:rsidRPr="00854397">
        <w:rPr>
          <w:rStyle w:val="Hyperlink"/>
          <w:color w:val="auto"/>
          <w:u w:val="none"/>
          <w:lang w:val="en-GB"/>
        </w:rPr>
        <w:t>.</w:t>
      </w:r>
    </w:p>
  </w:footnote>
  <w:footnote w:id="5">
    <w:p w14:paraId="20E8A8C3" w14:textId="5DDBA074"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Journal of Government 1506/B/2012 </w:t>
      </w:r>
      <w:hyperlink r:id="rId3" w:history="1">
        <w:r w:rsidRPr="00854397">
          <w:rPr>
            <w:rStyle w:val="Hyperlink"/>
            <w:lang w:val="en-GB"/>
          </w:rPr>
          <w:t>https://www.ika.gr/gr/infopages/kepa/FEK_1506_B_4-5-2012.pdf</w:t>
        </w:r>
      </w:hyperlink>
      <w:r w:rsidRPr="00854397">
        <w:rPr>
          <w:rStyle w:val="Hyperlink"/>
          <w:u w:val="none"/>
          <w:lang w:val="en-GB"/>
        </w:rPr>
        <w:t>.</w:t>
      </w:r>
      <w:r w:rsidRPr="00854397">
        <w:rPr>
          <w:lang w:val="en-GB"/>
        </w:rPr>
        <w:t xml:space="preserve"> </w:t>
      </w:r>
    </w:p>
  </w:footnote>
  <w:footnote w:id="6">
    <w:p w14:paraId="06F59DDF" w14:textId="042D6DD8"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Journal of Government 4591/B/2017 </w:t>
      </w:r>
      <w:hyperlink r:id="rId4" w:history="1">
        <w:r w:rsidRPr="00854397">
          <w:rPr>
            <w:rStyle w:val="Hyperlink"/>
            <w:lang w:val="en-GB"/>
          </w:rPr>
          <w:t>http://www.nomotelia.gr/photos/File/4591B-17.pdf</w:t>
        </w:r>
      </w:hyperlink>
      <w:r w:rsidRPr="00854397">
        <w:rPr>
          <w:rStyle w:val="Hyperlink"/>
          <w:u w:val="none"/>
          <w:lang w:val="en-GB"/>
        </w:rPr>
        <w:t>.</w:t>
      </w:r>
      <w:r w:rsidRPr="00854397">
        <w:rPr>
          <w:lang w:val="en-GB"/>
        </w:rPr>
        <w:t xml:space="preserve"> </w:t>
      </w:r>
    </w:p>
  </w:footnote>
  <w:footnote w:id="7">
    <w:p w14:paraId="70A07397" w14:textId="0DDD7711"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Journal of Government 2611/B/2011 </w:t>
      </w:r>
      <w:hyperlink r:id="rId5" w:history="1">
        <w:r w:rsidRPr="00854397">
          <w:rPr>
            <w:rStyle w:val="Hyperlink"/>
            <w:lang w:val="en-GB"/>
          </w:rPr>
          <w:t>https://drive.google.com/file/d/0B2q6YQEWX7zLZWE2NzlhYjMtYmM5ZC00YjY5LWE5MTctMTExNDgyZDMzNjQw/view</w:t>
        </w:r>
      </w:hyperlink>
      <w:r w:rsidRPr="00854397">
        <w:rPr>
          <w:rStyle w:val="Hyperlink"/>
          <w:u w:val="none"/>
          <w:lang w:val="en-GB"/>
        </w:rPr>
        <w:t>.</w:t>
      </w:r>
      <w:r w:rsidRPr="00854397">
        <w:rPr>
          <w:lang w:val="en-GB"/>
        </w:rPr>
        <w:t xml:space="preserve"> </w:t>
      </w:r>
    </w:p>
  </w:footnote>
  <w:footnote w:id="8">
    <w:p w14:paraId="11E5F9B8" w14:textId="1F5152AD"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Journal of Government 819/Β/1993) </w:t>
      </w:r>
      <w:hyperlink r:id="rId6" w:history="1">
        <w:r w:rsidRPr="00854397">
          <w:rPr>
            <w:rStyle w:val="Hyperlink"/>
            <w:lang w:val="en-GB"/>
          </w:rPr>
          <w:t>https://drive.google.com/file/d/0B2q6YQEWX7zLZDI0MzNhNTMtYzYxYy00MjZmLWFkNjQtZGExZTcyOTJiMjJk/view</w:t>
        </w:r>
      </w:hyperlink>
      <w:r w:rsidRPr="00854397">
        <w:rPr>
          <w:rStyle w:val="Hyperlink"/>
          <w:u w:val="none"/>
          <w:lang w:val="en-GB"/>
        </w:rPr>
        <w:t>.</w:t>
      </w:r>
      <w:r w:rsidRPr="00854397">
        <w:rPr>
          <w:lang w:val="en-GB"/>
        </w:rPr>
        <w:t xml:space="preserve"> </w:t>
      </w:r>
    </w:p>
  </w:footnote>
  <w:footnote w:id="9">
    <w:p w14:paraId="182335BF" w14:textId="3AAF5459"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Only HIV is listed under this category, assessed depending on degree of severity: up to 40% for cases not receiving treatment, 50% for asymptomatic cases receiving treatment, &gt;50% when showing symptoms, and &gt;80% for cases showing symptoms characteristic of AIDS (Single Table of Disability Percentage Determination 2017 p.31).</w:t>
      </w:r>
    </w:p>
  </w:footnote>
  <w:footnote w:id="10">
    <w:p w14:paraId="036FB169" w14:textId="0D5FA292"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Single Table of Disability Percentage Determination 2017 p.129.</w:t>
      </w:r>
    </w:p>
  </w:footnote>
  <w:footnote w:id="11">
    <w:p w14:paraId="3ECEA365" w14:textId="45852415"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(Single Table of Disability Percentage Determination 2017 p.31).</w:t>
      </w:r>
    </w:p>
  </w:footnote>
  <w:footnote w:id="12">
    <w:p w14:paraId="1A729F34" w14:textId="624938B4" w:rsidR="00D35F94" w:rsidRPr="00854397" w:rsidRDefault="00D35F94" w:rsidP="00A84BB4">
      <w:pPr>
        <w:pStyle w:val="FootnoteRM"/>
        <w:ind w:firstLine="0"/>
        <w:rPr>
          <w:lang w:val="en-GB"/>
        </w:rPr>
      </w:pPr>
      <w:r w:rsidRPr="00854397">
        <w:rPr>
          <w:lang w:val="en-GB"/>
        </w:rPr>
        <w:t xml:space="preserve">The Greek Ombudsman (2013) Special Report on KEPA (Centralized Certification Centre for Disability) </w:t>
      </w:r>
      <w:hyperlink r:id="rId7" w:history="1">
        <w:r w:rsidRPr="00854397">
          <w:rPr>
            <w:rStyle w:val="Hyperlink"/>
            <w:lang w:val="en-GB"/>
          </w:rPr>
          <w:t>http://www.synigoros.gr/resources/docs/130404-special-report.pdf</w:t>
        </w:r>
      </w:hyperlink>
      <w:r w:rsidRPr="00854397">
        <w:rPr>
          <w:lang w:val="en-GB"/>
        </w:rPr>
        <w:t>.</w:t>
      </w:r>
    </w:p>
  </w:footnote>
  <w:footnote w:id="13">
    <w:p w14:paraId="26C559B6" w14:textId="6424630F" w:rsidR="00D35F94" w:rsidRPr="00854397" w:rsidRDefault="00D35F94" w:rsidP="00A84BB4">
      <w:pPr>
        <w:pStyle w:val="FootnoteRM"/>
        <w:rPr>
          <w:rFonts w:asciiTheme="minorHAnsi" w:hAnsiTheme="minorHAnsi" w:cstheme="minorBidi"/>
          <w:lang w:val="en-GB"/>
        </w:rPr>
      </w:pPr>
      <w:r w:rsidRPr="00854397">
        <w:rPr>
          <w:rStyle w:val="FootnoteReference"/>
          <w:lang w:val="en-GB"/>
        </w:rPr>
        <w:footnoteRef/>
      </w:r>
      <w:r w:rsidRPr="00854397">
        <w:rPr>
          <w:lang w:val="en-GB"/>
        </w:rPr>
        <w:t xml:space="preserve"> </w:t>
      </w:r>
      <w:r w:rsidRPr="00854397">
        <w:rPr>
          <w:lang w:val="en-GB"/>
        </w:rPr>
        <w:tab/>
        <w:t>The Greek Ombudsman (2013 p. 9).</w:t>
      </w:r>
    </w:p>
  </w:footnote>
  <w:footnote w:id="14">
    <w:p w14:paraId="78C80A21" w14:textId="731BDECB"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hyperlink r:id="rId8" w:history="1">
        <w:r w:rsidRPr="00854397">
          <w:rPr>
            <w:rStyle w:val="Hyperlink"/>
            <w:lang w:val="en-GB"/>
          </w:rPr>
          <w:t>http://www.esamea.gr/legal-framework/laws/2620-n-4331-2015-metra-gia-tin-anakoyfisi-ton-atomon-me-anapiria-amea-tin-aplopoiisi-tis-leitoyrgias-ton-kentron-pistopoiisis-anapirias-ke-p-a-katapolemisi-tis-eisforodiafygis-kai-synafi-asfalistika-zitimata-kai-alles-diataxeis</w:t>
        </w:r>
      </w:hyperlink>
      <w:r w:rsidRPr="00854397">
        <w:rPr>
          <w:rStyle w:val="Hyperlink"/>
          <w:u w:val="none"/>
          <w:lang w:val="en-GB"/>
        </w:rPr>
        <w:t>.</w:t>
      </w:r>
      <w:r w:rsidRPr="00854397">
        <w:rPr>
          <w:lang w:val="en-GB"/>
        </w:rPr>
        <w:t xml:space="preserve"> </w:t>
      </w:r>
    </w:p>
  </w:footnote>
  <w:footnote w:id="15">
    <w:p w14:paraId="326F9144" w14:textId="77CCDEAA"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Journal of Government (FEK) 2906/B/2013 </w:t>
      </w:r>
      <w:hyperlink r:id="rId9" w:history="1">
        <w:r w:rsidRPr="00854397">
          <w:rPr>
            <w:rStyle w:val="Hyperlink"/>
            <w:lang w:val="en-GB"/>
          </w:rPr>
          <w:t>https://www.noesi.gr/sites/default/files/posts/lista-43-mi-anastrepsimes-pathiseis-fek-2906_18_11_2013-noesigr.pdf</w:t>
        </w:r>
      </w:hyperlink>
      <w:r w:rsidRPr="00854397">
        <w:rPr>
          <w:lang w:val="en-GB"/>
        </w:rPr>
        <w:t xml:space="preserve">. </w:t>
      </w:r>
    </w:p>
  </w:footnote>
  <w:footnote w:id="16">
    <w:p w14:paraId="61332881" w14:textId="690B7679"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EODAFF/ EDAAF 2018 Briefing Paper for the Rights of People in the Autistic Spectrum </w:t>
      </w:r>
      <w:hyperlink r:id="rId10" w:history="1">
        <w:r w:rsidRPr="00854397">
          <w:rPr>
            <w:rStyle w:val="Hyperlink"/>
            <w:lang w:val="en-GB"/>
          </w:rPr>
          <w:t>https://www.noesi.gr/sites/default/files/posts/ypomnima_goneon_melon_thesmikon_foreon_gia_ta_atoma_me_diatarahi_aytistikoy_fasmatos_08.02.2018.pdf</w:t>
        </w:r>
      </w:hyperlink>
      <w:r w:rsidRPr="00854397">
        <w:rPr>
          <w:lang w:val="en-GB"/>
        </w:rPr>
        <w:t xml:space="preserve">. </w:t>
      </w:r>
      <w:r w:rsidRPr="00854397" w:rsidDel="00365CE3">
        <w:rPr>
          <w:lang w:val="en-GB"/>
        </w:rPr>
        <w:t xml:space="preserve"> </w:t>
      </w:r>
      <w:r w:rsidRPr="00854397">
        <w:rPr>
          <w:lang w:val="en-GB"/>
        </w:rPr>
        <w:t xml:space="preserve"> </w:t>
      </w:r>
    </w:p>
  </w:footnote>
  <w:footnote w:id="17">
    <w:p w14:paraId="5EDDA025" w14:textId="095B0D8F"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hyperlink r:id="rId11" w:history="1">
        <w:r w:rsidRPr="00107B0F">
          <w:rPr>
            <w:rStyle w:val="Hyperlink"/>
            <w:lang w:val="en-GB"/>
          </w:rPr>
          <w:t>https://www.noesi.gr/sites/default/files/posts/ypomnima_goneon_melon_thesmikon_foreon_gia_ta_atoma_me_diatarahi_aytistikoy_fasmatos_08.02.2018.pdf</w:t>
        </w:r>
      </w:hyperlink>
      <w:r w:rsidRPr="00854397">
        <w:rPr>
          <w:rStyle w:val="Hyperlink"/>
          <w:u w:val="none"/>
          <w:lang w:val="en-GB"/>
        </w:rPr>
        <w:t>.</w:t>
      </w:r>
      <w:r w:rsidRPr="00854397">
        <w:rPr>
          <w:lang w:val="en-GB"/>
        </w:rPr>
        <w:t xml:space="preserve"> </w:t>
      </w:r>
    </w:p>
  </w:footnote>
  <w:footnote w:id="18">
    <w:p w14:paraId="005510AA" w14:textId="77F82AAE"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hyperlink r:id="rId12" w:history="1">
        <w:r w:rsidRPr="00854397">
          <w:rPr>
            <w:rStyle w:val="Hyperlink"/>
            <w:lang w:val="en-GB"/>
          </w:rPr>
          <w:t>https://www.special-learning.com/article/vineland_adaptive_behavior_scales</w:t>
        </w:r>
      </w:hyperlink>
      <w:r w:rsidRPr="00854397">
        <w:rPr>
          <w:lang w:val="en-GB"/>
        </w:rPr>
        <w:t xml:space="preserve"> </w:t>
      </w:r>
      <w:hyperlink r:id="rId13" w:history="1">
        <w:r w:rsidRPr="00854397">
          <w:rPr>
            <w:rStyle w:val="Hyperlink"/>
            <w:lang w:val="en-GB"/>
          </w:rPr>
          <w:t>https://research.agre.org/program/aboutados.cfm</w:t>
        </w:r>
      </w:hyperlink>
      <w:r w:rsidRPr="00854397">
        <w:rPr>
          <w:rStyle w:val="Hyperlink"/>
          <w:u w:val="none"/>
          <w:lang w:val="en-GB"/>
        </w:rPr>
        <w:t>.</w:t>
      </w:r>
    </w:p>
  </w:footnote>
  <w:footnote w:id="19">
    <w:p w14:paraId="0BA7DA3F" w14:textId="7BFEC5D3"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hyperlink r:id="rId14" w:history="1">
        <w:r w:rsidRPr="00854397">
          <w:rPr>
            <w:rStyle w:val="Hyperlink"/>
            <w:lang w:val="en-GB"/>
          </w:rPr>
          <w:t>https://research.agre.org/program/aboutadi.cfm</w:t>
        </w:r>
      </w:hyperlink>
      <w:r w:rsidRPr="00854397">
        <w:rPr>
          <w:rStyle w:val="Hyperlink"/>
          <w:u w:val="none"/>
          <w:lang w:val="en-GB"/>
        </w:rPr>
        <w:t>.</w:t>
      </w:r>
    </w:p>
  </w:footnote>
  <w:footnote w:id="20">
    <w:p w14:paraId="3B0F0DA2" w14:textId="6504E97A"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EODAFF/ EDAAF 2018 Briefing Paper for the Rights of People in the Autistic Spectrum, p. 39-40 </w:t>
      </w:r>
      <w:hyperlink r:id="rId15" w:history="1">
        <w:r w:rsidRPr="00694035">
          <w:rPr>
            <w:rStyle w:val="Hyperlink"/>
            <w:lang w:val="en-GB"/>
          </w:rPr>
          <w:t>https://www.noesi.gr/post/ypomnima-goneon-melon-thesmikon-foreon-gia-ta-atoma-diatarahi-aytistikoy-fasmatos-08022018</w:t>
        </w:r>
      </w:hyperlink>
      <w:r w:rsidRPr="00854397">
        <w:rPr>
          <w:lang w:val="en-GB"/>
        </w:rPr>
        <w:t xml:space="preserve">. </w:t>
      </w:r>
      <w:r>
        <w:rPr>
          <w:lang w:val="en-GB"/>
        </w:rPr>
        <w:t xml:space="preserve">     </w:t>
      </w:r>
    </w:p>
  </w:footnote>
  <w:footnote w:id="21">
    <w:p w14:paraId="3EC9B401" w14:textId="71246FC4" w:rsidR="00D35F94" w:rsidRDefault="00D35F94" w:rsidP="00362D3C">
      <w:pPr>
        <w:pStyle w:val="FootnoteText"/>
        <w:ind w:left="284" w:hanging="284"/>
      </w:pPr>
      <w:r>
        <w:rPr>
          <w:rStyle w:val="FootnoteReference"/>
        </w:rPr>
        <w:footnoteRef/>
      </w:r>
      <w:r>
        <w:t xml:space="preserve"> </w:t>
      </w:r>
      <w:r>
        <w:tab/>
        <w:t>Law 4549/2018 (FEK</w:t>
      </w:r>
      <w:r w:rsidRPr="00B843E6">
        <w:t xml:space="preserve"> Α 105)</w:t>
      </w:r>
      <w:r>
        <w:t xml:space="preserve"> Article 17 Welfare Provisions.</w:t>
      </w:r>
    </w:p>
  </w:footnote>
  <w:footnote w:id="22">
    <w:p w14:paraId="0E85F82D" w14:textId="68D479D9"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hyperlink r:id="rId16" w:history="1">
        <w:r w:rsidRPr="00854397">
          <w:rPr>
            <w:rStyle w:val="Hyperlink"/>
            <w:lang w:val="en-GB"/>
          </w:rPr>
          <w:t>http://opeka.gr/wp-content/uploads/2018/02/pilotiko-pronomiakon-paroxon-atoma-me-anapiria-215_n4512-2018.pdf</w:t>
        </w:r>
      </w:hyperlink>
      <w:r w:rsidRPr="00854397">
        <w:rPr>
          <w:rStyle w:val="Hyperlink"/>
          <w:u w:val="none"/>
          <w:lang w:val="en-GB"/>
        </w:rPr>
        <w:t>.</w:t>
      </w:r>
      <w:r w:rsidRPr="00854397">
        <w:rPr>
          <w:lang w:val="en-GB"/>
        </w:rPr>
        <w:t xml:space="preserve"> </w:t>
      </w:r>
    </w:p>
    <w:p w14:paraId="74E6A602" w14:textId="47DF9E9B" w:rsidR="00D35F94" w:rsidRPr="00854397" w:rsidRDefault="00D35F94" w:rsidP="00940136">
      <w:pPr>
        <w:pStyle w:val="FootnoteRM"/>
        <w:ind w:firstLine="0"/>
        <w:rPr>
          <w:lang w:val="en-GB"/>
        </w:rPr>
      </w:pPr>
      <w:r w:rsidRPr="00854397">
        <w:rPr>
          <w:lang w:val="en-GB"/>
        </w:rPr>
        <w:t xml:space="preserve">See also Ministerial Decision: </w:t>
      </w:r>
      <w:hyperlink r:id="rId17" w:history="1">
        <w:r w:rsidRPr="00854397">
          <w:rPr>
            <w:rStyle w:val="Hyperlink"/>
            <w:lang w:val="en-GB"/>
          </w:rPr>
          <w:t>http://opeka.gr/wp-content/uploads/2018/02/KYA-atoma-me-anapiria.pdf</w:t>
        </w:r>
      </w:hyperlink>
      <w:r w:rsidRPr="00854397">
        <w:rPr>
          <w:rStyle w:val="Hyperlink"/>
          <w:u w:val="none"/>
          <w:lang w:val="en-GB"/>
        </w:rPr>
        <w:t>.</w:t>
      </w:r>
      <w:r w:rsidRPr="00854397">
        <w:rPr>
          <w:lang w:val="en-GB"/>
        </w:rPr>
        <w:t xml:space="preserve"> </w:t>
      </w:r>
    </w:p>
  </w:footnote>
  <w:footnote w:id="23">
    <w:p w14:paraId="6718BA0A" w14:textId="420B5599"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See list of benefits provided at </w:t>
      </w:r>
      <w:hyperlink r:id="rId18" w:history="1">
        <w:r w:rsidRPr="00854397">
          <w:rPr>
            <w:rStyle w:val="Hyperlink"/>
            <w:lang w:val="en-GB"/>
          </w:rPr>
          <w:t>https://opeka.gr/atoma-me-anapiria/plirofories/</w:t>
        </w:r>
      </w:hyperlink>
      <w:r w:rsidRPr="00854397">
        <w:rPr>
          <w:rStyle w:val="Hyperlink"/>
          <w:u w:val="none"/>
          <w:lang w:val="en-GB"/>
        </w:rPr>
        <w:t>.</w:t>
      </w:r>
      <w:r w:rsidRPr="00854397">
        <w:rPr>
          <w:lang w:val="en-GB"/>
        </w:rPr>
        <w:t xml:space="preserve"> </w:t>
      </w:r>
    </w:p>
  </w:footnote>
  <w:footnote w:id="24">
    <w:p w14:paraId="00FBB890" w14:textId="284A3621" w:rsidR="00D35F94" w:rsidRPr="00854397" w:rsidRDefault="00D35F94" w:rsidP="00940136">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Law 4520/2018 Establishment of the Organisation of Welfare Benefits and Social Solidarity </w:t>
      </w:r>
      <w:hyperlink r:id="rId19" w:history="1">
        <w:r w:rsidRPr="00854397">
          <w:rPr>
            <w:rStyle w:val="Hyperlink"/>
            <w:lang w:val="en-GB"/>
          </w:rPr>
          <w:t>https://opeka.gr/wp-content/uploads/2018/03/%CE%9D-4520-2018.pdf</w:t>
        </w:r>
      </w:hyperlink>
      <w:r w:rsidRPr="00854397">
        <w:rPr>
          <w:rStyle w:val="Hyperlink"/>
          <w:u w:val="none"/>
          <w:lang w:val="en-GB"/>
        </w:rPr>
        <w:t>.</w:t>
      </w:r>
      <w:r w:rsidRPr="00854397">
        <w:rPr>
          <w:lang w:val="en-GB"/>
        </w:rPr>
        <w:t xml:space="preserve"> </w:t>
      </w:r>
    </w:p>
  </w:footnote>
  <w:footnote w:id="25">
    <w:p w14:paraId="3DC2F988" w14:textId="7EE4BD97"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hyperlink r:id="rId20" w:history="1">
        <w:r w:rsidRPr="00854397">
          <w:rPr>
            <w:rStyle w:val="Hyperlink"/>
            <w:lang w:val="en-GB"/>
          </w:rPr>
          <w:t>https://www.dikaiologitika.gr/eidhseis/asfalish/191122/vima-vima-to-pilotiko-programma-ton-pronoiakon-epidomaton-anapirias</w:t>
        </w:r>
      </w:hyperlink>
      <w:r w:rsidRPr="00854397">
        <w:rPr>
          <w:rStyle w:val="Hyperlink"/>
          <w:u w:val="none"/>
          <w:lang w:val="en-GB"/>
        </w:rPr>
        <w:t>.</w:t>
      </w:r>
      <w:r w:rsidRPr="00854397">
        <w:rPr>
          <w:lang w:val="en-GB"/>
        </w:rPr>
        <w:t xml:space="preserve"> </w:t>
      </w:r>
    </w:p>
  </w:footnote>
  <w:footnote w:id="26">
    <w:p w14:paraId="24DC25E2" w14:textId="3A5355FF"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hyperlink r:id="rId21" w:history="1">
        <w:r w:rsidRPr="00854397">
          <w:rPr>
            <w:rStyle w:val="Hyperlink"/>
            <w:lang w:val="en-GB"/>
          </w:rPr>
          <w:t>http://www.who.int/classifications/icf/whodasii/en/</w:t>
        </w:r>
      </w:hyperlink>
      <w:r w:rsidRPr="00854397">
        <w:rPr>
          <w:lang w:val="en-GB"/>
        </w:rPr>
        <w:t>.</w:t>
      </w:r>
    </w:p>
  </w:footnote>
  <w:footnote w:id="27">
    <w:p w14:paraId="4256AF5A" w14:textId="7BF52289" w:rsidR="00D35F94" w:rsidRDefault="00D35F94" w:rsidP="00D35F94">
      <w:pPr>
        <w:pStyle w:val="FootnoteText"/>
        <w:ind w:left="284" w:hanging="284"/>
      </w:pPr>
      <w:r>
        <w:rPr>
          <w:rStyle w:val="FootnoteReference"/>
        </w:rPr>
        <w:footnoteRef/>
      </w:r>
      <w:r>
        <w:t xml:space="preserve"> </w:t>
      </w:r>
      <w:r>
        <w:tab/>
        <w:t xml:space="preserve">OPEKA 2018 Disability Welfare Benefits Guide p. 58 available at </w:t>
      </w:r>
      <w:hyperlink r:id="rId22" w:history="1">
        <w:r w:rsidR="00D03A86" w:rsidRPr="00CB523B">
          <w:rPr>
            <w:rStyle w:val="Hyperlink"/>
          </w:rPr>
          <w:t>https://thessaloniki.gr/wp-content/uploads/2018/07/%CE%BF%CE%B4%CE%B7%CE%B3%CE%BF%CF%82_3-7-2018_%CE%BD%CE%B5%CE%BF.pdf</w:t>
        </w:r>
      </w:hyperlink>
      <w:r w:rsidR="00D03A86">
        <w:t xml:space="preserve">. </w:t>
      </w:r>
    </w:p>
  </w:footnote>
  <w:footnote w:id="28">
    <w:p w14:paraId="3191E944" w14:textId="34B87B44" w:rsidR="00D35F94" w:rsidRDefault="00D35F94" w:rsidP="00D35F94">
      <w:pPr>
        <w:pStyle w:val="FootnoteText"/>
        <w:ind w:left="284" w:hanging="284"/>
      </w:pPr>
      <w:r>
        <w:rPr>
          <w:rStyle w:val="FootnoteReference"/>
        </w:rPr>
        <w:footnoteRef/>
      </w:r>
      <w:r>
        <w:t xml:space="preserve"> </w:t>
      </w:r>
      <w:r>
        <w:tab/>
        <w:t>Law 4549/2018 (FEK</w:t>
      </w:r>
      <w:r w:rsidRPr="00B843E6">
        <w:t xml:space="preserve"> Α 105)</w:t>
      </w:r>
      <w:r>
        <w:t xml:space="preserve"> Article 17 Welfare Provisions.</w:t>
      </w:r>
    </w:p>
  </w:footnote>
  <w:footnote w:id="29">
    <w:p w14:paraId="52875498" w14:textId="2A16DB26"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National Federation of Disabled People Press Release 12 January 2018 </w:t>
      </w:r>
      <w:hyperlink r:id="rId23" w:history="1">
        <w:r w:rsidRPr="00854397">
          <w:rPr>
            <w:rStyle w:val="Hyperlink"/>
            <w:lang w:val="en-GB"/>
          </w:rPr>
          <w:t>http://esaea.gr/pressoffice/press-releases/3691-i-esamea-gia-to-polynomosxedio-sti-boyli-i-apaitisi-ton-daneiston-tis-xoras-gia-tin-eisagogi-tis-leitoyrgikotitas-stin-pistopoiisi-tis-anapirias-einai-paralogi-adikaiologiti-kai-exthriki</w:t>
        </w:r>
      </w:hyperlink>
      <w:r w:rsidRPr="00854397">
        <w:rPr>
          <w:rStyle w:val="Hyperlink"/>
          <w:u w:val="none"/>
          <w:lang w:val="en-GB"/>
        </w:rPr>
        <w:t>.</w:t>
      </w:r>
    </w:p>
  </w:footnote>
  <w:footnote w:id="30">
    <w:p w14:paraId="7E630C92" w14:textId="1B137490"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This can be interpreted as deviation from a practice that would consider functionality within the built/social environment</w:t>
      </w:r>
      <w:r>
        <w:rPr>
          <w:lang w:val="en-GB"/>
        </w:rPr>
        <w:t xml:space="preserve"> </w:t>
      </w:r>
      <w:r w:rsidRPr="00854397">
        <w:rPr>
          <w:lang w:val="en-GB"/>
        </w:rPr>
        <w:t>and would also strive to remove social obstacles. This seems to be</w:t>
      </w:r>
      <w:r>
        <w:rPr>
          <w:lang w:val="en-GB"/>
        </w:rPr>
        <w:t xml:space="preserve"> </w:t>
      </w:r>
      <w:r w:rsidRPr="00854397">
        <w:rPr>
          <w:lang w:val="en-GB"/>
        </w:rPr>
        <w:t xml:space="preserve">the point of controversy for disability organisations in view of the new assessment </w:t>
      </w:r>
      <w:r>
        <w:rPr>
          <w:lang w:val="en-GB"/>
        </w:rPr>
        <w:t>method i</w:t>
      </w:r>
      <w:r w:rsidRPr="00854397">
        <w:rPr>
          <w:lang w:val="en-GB"/>
        </w:rPr>
        <w:t xml:space="preserve">n that the focus on individual functionality stripped of context can potentially be interpreted in a way that effectively reduces eligibility to disability benefits. An example illustrating this point is given by Ms. P. </w:t>
      </w:r>
      <w:proofErr w:type="spellStart"/>
      <w:r w:rsidRPr="00854397">
        <w:rPr>
          <w:lang w:val="en-GB"/>
        </w:rPr>
        <w:t>Tsavalia</w:t>
      </w:r>
      <w:proofErr w:type="spellEnd"/>
      <w:r w:rsidRPr="00854397">
        <w:rPr>
          <w:lang w:val="en-GB"/>
        </w:rPr>
        <w:t xml:space="preserve"> in an interview to Pavli (2017 p.171) saying how a blind person staying at home for instance may be “eligible for an escort”, whereas a blind person holding a job or studying at a university (despite obstacles and possibly own resources used) may be deemed functional and thus assessed with a lesser percentage. </w:t>
      </w:r>
    </w:p>
  </w:footnote>
  <w:footnote w:id="31">
    <w:p w14:paraId="00FA9F7A" w14:textId="2AFA3F2B"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EODAFF/ EDAAF 2018 Briefing Paper for the Rights of People in the Autistic Spectrum, p.22 </w:t>
      </w:r>
      <w:hyperlink r:id="rId24" w:history="1">
        <w:r w:rsidRPr="00694035">
          <w:rPr>
            <w:rStyle w:val="Hyperlink"/>
            <w:lang w:val="en-GB"/>
          </w:rPr>
          <w:t>https://www.noesi.gr/post/ypomnima-goneon-melon-thesmikon-foreon-gia-ta-atoma-diatarahi-aytistikoy-fasmatos-08022018</w:t>
        </w:r>
      </w:hyperlink>
      <w:r w:rsidRPr="00854397">
        <w:rPr>
          <w:lang w:val="en-GB"/>
        </w:rPr>
        <w:t xml:space="preserve">. </w:t>
      </w:r>
      <w:r>
        <w:rPr>
          <w:lang w:val="en-GB"/>
        </w:rPr>
        <w:t xml:space="preserve">     </w:t>
      </w:r>
    </w:p>
  </w:footnote>
  <w:footnote w:id="32">
    <w:p w14:paraId="1EB14AFB" w14:textId="2FF6F805" w:rsidR="00D35F94" w:rsidRDefault="00D35F94" w:rsidP="00D35F94">
      <w:pPr>
        <w:pStyle w:val="FootnoteText"/>
        <w:ind w:left="284" w:hanging="284"/>
      </w:pPr>
      <w:r>
        <w:rPr>
          <w:rStyle w:val="FootnoteReference"/>
        </w:rPr>
        <w:footnoteRef/>
      </w:r>
      <w:r>
        <w:t xml:space="preserve"> </w:t>
      </w:r>
      <w:r>
        <w:tab/>
      </w:r>
      <w:r w:rsidRPr="00665E6C">
        <w:t>Reform of Support Structures in Primary and Secondary</w:t>
      </w:r>
      <w:r>
        <w:t xml:space="preserve"> FEK102 A'/12.06.2018 </w:t>
      </w:r>
      <w:hyperlink r:id="rId25" w:history="1">
        <w:r w:rsidRPr="004F5752">
          <w:rPr>
            <w:rStyle w:val="Hyperlink"/>
          </w:rPr>
          <w:t>https://www.hellenicparliament.gr/UserFiles/bcc26661-143b-4f2d-8916-0e0e66ba4c50/e-anadec-pap_apospasma.pdf</w:t>
        </w:r>
      </w:hyperlink>
      <w:r>
        <w:rPr>
          <w:rStyle w:val="Hyperlink"/>
        </w:rPr>
        <w:t xml:space="preserve">. </w:t>
      </w:r>
    </w:p>
  </w:footnote>
  <w:footnote w:id="33">
    <w:p w14:paraId="3CECF7F7" w14:textId="12963B34"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Previously regulated by Law 3699/2008 and the Ministerial Decision FEK 315/B/2014.</w:t>
      </w:r>
    </w:p>
  </w:footnote>
  <w:footnote w:id="34">
    <w:p w14:paraId="7CBEC24F" w14:textId="6B98C216" w:rsidR="00D35F94" w:rsidRDefault="00D35F94" w:rsidP="00D35F94">
      <w:pPr>
        <w:pStyle w:val="FootnoteText"/>
        <w:ind w:left="284" w:hanging="284"/>
      </w:pPr>
      <w:r>
        <w:t xml:space="preserve"> </w:t>
      </w:r>
      <w:r>
        <w:tab/>
      </w:r>
      <w:r w:rsidRPr="00665E6C">
        <w:t>Reform of Support Structures in Primary and Secondary</w:t>
      </w:r>
      <w:r>
        <w:t xml:space="preserve"> FEK102 A'/12.06.2018 </w:t>
      </w:r>
      <w:hyperlink r:id="rId26" w:history="1">
        <w:r w:rsidRPr="004F5752">
          <w:rPr>
            <w:rStyle w:val="Hyperlink"/>
          </w:rPr>
          <w:t>https://www.hellenicparliament.gr/UserFiles/bcc26661-143b-4f2d-8916-0e0e66ba4c50/e-anadec-pap_apospasma.pdf</w:t>
        </w:r>
      </w:hyperlink>
      <w:r>
        <w:rPr>
          <w:rStyle w:val="Hyperlink"/>
        </w:rPr>
        <w:t>.</w:t>
      </w:r>
    </w:p>
  </w:footnote>
  <w:footnote w:id="35">
    <w:p w14:paraId="380A1283" w14:textId="54A8D62C"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Law 4115/2013 (Art.39); Ministerial Decision FEK 315/B/2014; latest update Educational Draft Law “Reform of Support Structures in Primary and Secondary Education” (Public Consultation March 2018) </w:t>
      </w:r>
    </w:p>
    <w:p w14:paraId="75751011" w14:textId="45497E29" w:rsidR="00D35F94" w:rsidRPr="00854397" w:rsidRDefault="00D35F94" w:rsidP="00940136">
      <w:pPr>
        <w:pStyle w:val="FootnoteRM"/>
        <w:ind w:firstLine="0"/>
        <w:rPr>
          <w:lang w:val="en-GB"/>
        </w:rPr>
      </w:pPr>
      <w:hyperlink r:id="rId27" w:history="1">
        <w:r w:rsidRPr="00854397">
          <w:rPr>
            <w:rStyle w:val="Hyperlink"/>
            <w:lang w:val="en-GB"/>
          </w:rPr>
          <w:t>http://www.opengov.gr/ypepth/wp-content/uploads/downloads/2018/03/ypepth.pdf</w:t>
        </w:r>
      </w:hyperlink>
      <w:r w:rsidRPr="00854397">
        <w:rPr>
          <w:rStyle w:val="Hyperlink"/>
          <w:u w:val="none"/>
          <w:lang w:val="en-GB"/>
        </w:rPr>
        <w:t>.</w:t>
      </w:r>
    </w:p>
  </w:footnote>
  <w:footnote w:id="36">
    <w:p w14:paraId="21337510" w14:textId="6C5EB3B3" w:rsidR="00D35F94" w:rsidRPr="00D03A86"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r w:rsidRPr="00FE26A9">
        <w:t xml:space="preserve">Reform of Support Structures in Primary and Secondary FEK102 A'/12.06.2018 </w:t>
      </w:r>
      <w:hyperlink r:id="rId28" w:history="1">
        <w:r w:rsidRPr="00D03A86">
          <w:rPr>
            <w:rStyle w:val="Hyperlink"/>
            <w:lang w:val="en-GB"/>
          </w:rPr>
          <w:t>https://www.hellenicparliament.gr/UserFiles/bcc26661-143b-4f2d-8916-0e0e66ba4c50/e-anadec-pap_apospasma.pdf</w:t>
        </w:r>
      </w:hyperlink>
      <w:r w:rsidR="00D03A86">
        <w:rPr>
          <w:rStyle w:val="Hyperlink"/>
          <w:u w:val="none"/>
        </w:rPr>
        <w:t>.</w:t>
      </w:r>
    </w:p>
  </w:footnote>
  <w:footnote w:id="37">
    <w:p w14:paraId="686E09DF" w14:textId="23D1C3AC" w:rsidR="00D35F94" w:rsidRPr="00854397" w:rsidRDefault="00D35F94" w:rsidP="00940136">
      <w:pPr>
        <w:pStyle w:val="FootnoteRM"/>
        <w:rPr>
          <w:lang w:val="en-GB"/>
        </w:rPr>
      </w:pPr>
      <w:r w:rsidRPr="00854397">
        <w:rPr>
          <w:rStyle w:val="FootnoteReference"/>
          <w:lang w:val="en-GB"/>
        </w:rPr>
        <w:footnoteRef/>
      </w:r>
      <w:r w:rsidRPr="00854397">
        <w:rPr>
          <w:lang w:val="en-GB"/>
        </w:rPr>
        <w:t xml:space="preserve"> </w:t>
      </w:r>
      <w:r w:rsidRPr="00854397">
        <w:rPr>
          <w:lang w:val="en-GB"/>
        </w:rPr>
        <w:tab/>
        <w:t>In the Greek context, this is the term used to describe the scientific and policy field as much as the administration structures around disability and education. Although seemingly a paradox, as a field of knowledge it strongly includes the concept, method and practice of inclusive education.</w:t>
      </w:r>
    </w:p>
  </w:footnote>
  <w:footnote w:id="38">
    <w:p w14:paraId="0E188A8B" w14:textId="2FAB4C47"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Law 3699/2008 Special Education and Education of persons with disability or with special educational needs (Article 4).</w:t>
      </w:r>
    </w:p>
  </w:footnote>
  <w:footnote w:id="39">
    <w:p w14:paraId="5B6B099E" w14:textId="13313347"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Ministerial Decision FEK 315/B/2014.</w:t>
      </w:r>
    </w:p>
  </w:footnote>
  <w:footnote w:id="40">
    <w:p w14:paraId="4B370E1B" w14:textId="086E86AC"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The Ministerial Decision 2014 is not overturned in the draft law.</w:t>
      </w:r>
    </w:p>
  </w:footnote>
  <w:footnote w:id="41">
    <w:p w14:paraId="73F3BC1A" w14:textId="1A4C5A3D" w:rsidR="00D35F94" w:rsidRDefault="00D35F94" w:rsidP="00362D3C">
      <w:pPr>
        <w:pStyle w:val="FootnoteText"/>
        <w:ind w:left="284" w:hanging="284"/>
      </w:pPr>
      <w:r>
        <w:rPr>
          <w:rStyle w:val="FootnoteReference"/>
        </w:rPr>
        <w:footnoteRef/>
      </w:r>
      <w:r>
        <w:t xml:space="preserve"> </w:t>
      </w:r>
      <w:r>
        <w:tab/>
        <w:t xml:space="preserve">Ministerial Decision 351.1/49/167596/Ε3 (15 October 2018) Commencement of the </w:t>
      </w:r>
      <w:r w:rsidRPr="00CF2B9E">
        <w:rPr>
          <w:szCs w:val="24"/>
        </w:rPr>
        <w:t>Regional Centre</w:t>
      </w:r>
      <w:r>
        <w:rPr>
          <w:szCs w:val="24"/>
        </w:rPr>
        <w:t>s</w:t>
      </w:r>
      <w:r w:rsidRPr="00CF2B9E">
        <w:rPr>
          <w:szCs w:val="24"/>
        </w:rPr>
        <w:t xml:space="preserve"> for Educational Planning (PEKES)</w:t>
      </w:r>
      <w:r>
        <w:rPr>
          <w:szCs w:val="24"/>
        </w:rPr>
        <w:t xml:space="preserve"> </w:t>
      </w:r>
      <w:hyperlink r:id="rId29" w:history="1">
        <w:r w:rsidRPr="00107B0F">
          <w:rPr>
            <w:rStyle w:val="Hyperlink"/>
          </w:rPr>
          <w:t>https://www.alfavita.gr/sites/default/files/attachments/fek4511_lixi-thiteias-sholikon-symvoylon.pdf</w:t>
        </w:r>
      </w:hyperlink>
      <w:r>
        <w:t xml:space="preserve">. </w:t>
      </w:r>
    </w:p>
  </w:footnote>
  <w:footnote w:id="42">
    <w:p w14:paraId="054B75EF" w14:textId="6A5EFF7D"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proofErr w:type="spellStart"/>
      <w:r w:rsidRPr="00854397">
        <w:rPr>
          <w:lang w:val="en-GB"/>
        </w:rPr>
        <w:t>Eustathiou</w:t>
      </w:r>
      <w:proofErr w:type="spellEnd"/>
      <w:r w:rsidRPr="00854397">
        <w:rPr>
          <w:lang w:val="en-GB"/>
        </w:rPr>
        <w:t xml:space="preserve"> (2016) Qualitative and Quantitative Characteristics of Special Education Structures in the Region of </w:t>
      </w:r>
      <w:proofErr w:type="spellStart"/>
      <w:r w:rsidRPr="00854397">
        <w:rPr>
          <w:lang w:val="en-GB"/>
        </w:rPr>
        <w:t>Ipiros</w:t>
      </w:r>
      <w:proofErr w:type="spellEnd"/>
      <w:r w:rsidRPr="00854397">
        <w:rPr>
          <w:lang w:val="en-GB"/>
        </w:rPr>
        <w:t xml:space="preserve">, available at </w:t>
      </w:r>
      <w:hyperlink r:id="rId30" w:history="1">
        <w:r w:rsidRPr="00854397">
          <w:rPr>
            <w:rStyle w:val="Hyperlink"/>
            <w:lang w:val="en-GB"/>
          </w:rPr>
          <w:t>https://www.esos.gr/arthra/47787/poiotika-kai-posotika-haraktiristika-ton-domon-eidikis-agogis-kai-ekpaideysis-stin</w:t>
        </w:r>
      </w:hyperlink>
      <w:r w:rsidRPr="00854397">
        <w:rPr>
          <w:lang w:val="en-GB"/>
        </w:rPr>
        <w:t xml:space="preserve">. </w:t>
      </w:r>
    </w:p>
  </w:footnote>
  <w:footnote w:id="43">
    <w:p w14:paraId="6AB07294" w14:textId="597C3FD1"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Greek Statistical Service 2017 </w:t>
      </w:r>
      <w:hyperlink r:id="rId31" w:history="1">
        <w:r w:rsidRPr="00854397">
          <w:rPr>
            <w:rStyle w:val="Hyperlink"/>
            <w:lang w:val="en-GB"/>
          </w:rPr>
          <w:t>http://www.statistics.gr/el/statistics/-/publication/SED41/-</w:t>
        </w:r>
      </w:hyperlink>
      <w:r w:rsidRPr="00854397">
        <w:rPr>
          <w:rStyle w:val="Hyperlink"/>
          <w:u w:val="none"/>
          <w:lang w:val="en-GB"/>
        </w:rPr>
        <w:t>.</w:t>
      </w:r>
      <w:r w:rsidRPr="00854397">
        <w:rPr>
          <w:lang w:val="en-GB"/>
        </w:rPr>
        <w:t xml:space="preserve"> </w:t>
      </w:r>
    </w:p>
  </w:footnote>
  <w:footnote w:id="44">
    <w:p w14:paraId="2739E5D0" w14:textId="0EA913DD"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proofErr w:type="spellStart"/>
      <w:r w:rsidRPr="00854397">
        <w:rPr>
          <w:lang w:val="en-GB"/>
        </w:rPr>
        <w:t>Papatrecha</w:t>
      </w:r>
      <w:proofErr w:type="spellEnd"/>
      <w:r w:rsidRPr="00854397">
        <w:rPr>
          <w:lang w:val="en-GB"/>
        </w:rPr>
        <w:t xml:space="preserve"> et al (2013) The views of staff of a KEDDY unit about diagnosis and support of children at the Autistic Spectrum in Primary Education, </w:t>
      </w:r>
      <w:proofErr w:type="spellStart"/>
      <w:r w:rsidRPr="00854397">
        <w:rPr>
          <w:i/>
          <w:lang w:val="en-GB"/>
        </w:rPr>
        <w:t>Peadagogical</w:t>
      </w:r>
      <w:proofErr w:type="spellEnd"/>
      <w:r w:rsidRPr="00854397">
        <w:rPr>
          <w:i/>
          <w:lang w:val="en-GB"/>
        </w:rPr>
        <w:t xml:space="preserve"> Inspection </w:t>
      </w:r>
      <w:r w:rsidRPr="00854397">
        <w:rPr>
          <w:lang w:val="en-GB"/>
        </w:rPr>
        <w:t>55/2013.</w:t>
      </w:r>
    </w:p>
  </w:footnote>
  <w:footnote w:id="45">
    <w:p w14:paraId="45F3822B" w14:textId="6CD168E5"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r>
      <w:hyperlink r:id="rId32" w:history="1">
        <w:r w:rsidRPr="00854397">
          <w:rPr>
            <w:rStyle w:val="Hyperlink"/>
            <w:lang w:val="en-GB"/>
          </w:rPr>
          <w:t>https://www.synigoros.gr/resources/ee2016-11-ekpaideusi.pdf</w:t>
        </w:r>
      </w:hyperlink>
      <w:r w:rsidRPr="00854397">
        <w:rPr>
          <w:lang w:val="en-GB"/>
        </w:rPr>
        <w:t xml:space="preserve">. </w:t>
      </w:r>
    </w:p>
  </w:footnote>
  <w:footnote w:id="46">
    <w:p w14:paraId="2F9CB52F" w14:textId="38B2089C"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PESEA (2014) Proceedings 7th National Scientific Conference on Special Education, Special Education Issues, 66, 1-112.</w:t>
      </w:r>
    </w:p>
  </w:footnote>
  <w:footnote w:id="47">
    <w:p w14:paraId="26C4012D" w14:textId="514E6171"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Panagiotaki and </w:t>
      </w:r>
      <w:proofErr w:type="spellStart"/>
      <w:r w:rsidRPr="00854397">
        <w:rPr>
          <w:lang w:val="en-GB"/>
        </w:rPr>
        <w:t>Andrioti</w:t>
      </w:r>
      <w:proofErr w:type="spellEnd"/>
      <w:r w:rsidRPr="00854397">
        <w:rPr>
          <w:lang w:val="en-GB"/>
        </w:rPr>
        <w:t xml:space="preserve"> (2012) Perceptions of educational staff in primary education about the cooperation between KEDDY and schools Special Education Issues 57, 60-71.</w:t>
      </w:r>
    </w:p>
  </w:footnote>
  <w:footnote w:id="48">
    <w:p w14:paraId="584FFF40" w14:textId="194E1CCD" w:rsidR="00D35F94" w:rsidRPr="00854397" w:rsidRDefault="00D35F94" w:rsidP="00A84BB4">
      <w:pPr>
        <w:pStyle w:val="FootnoteRM"/>
        <w:rPr>
          <w:lang w:val="en-GB"/>
        </w:rPr>
      </w:pPr>
      <w:r w:rsidRPr="00854397">
        <w:rPr>
          <w:rStyle w:val="FootnoteReference"/>
          <w:lang w:val="en-GB"/>
        </w:rPr>
        <w:footnoteRef/>
      </w:r>
      <w:r w:rsidRPr="00854397">
        <w:rPr>
          <w:lang w:val="en-GB"/>
        </w:rPr>
        <w:t xml:space="preserve"> </w:t>
      </w:r>
      <w:r w:rsidRPr="00854397">
        <w:rPr>
          <w:lang w:val="en-GB"/>
        </w:rPr>
        <w:tab/>
        <w:t xml:space="preserve">Law 4487/2017 Public Sector Pension Regulations, enhancing protection of employees, rights of persons with disabilities and other regulations </w:t>
      </w:r>
      <w:hyperlink r:id="rId33" w:history="1">
        <w:r w:rsidRPr="00854397">
          <w:rPr>
            <w:rStyle w:val="Hyperlink"/>
            <w:lang w:val="en-GB"/>
          </w:rPr>
          <w:t>http://www.parliament.gr/Nomothetiko-Ergo/Anazitisi-Nomothetikou-Ergou?law_id=b8e96a13-bde1-47bc-a835-a7de0147c297</w:t>
        </w:r>
      </w:hyperlink>
      <w:r w:rsidRPr="00854397">
        <w:rPr>
          <w:rStyle w:val="Hyperlink"/>
          <w:u w:val="none"/>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B868" w14:textId="4B61E4AD" w:rsidR="00D35F94" w:rsidRPr="000501F8" w:rsidRDefault="00D35F94" w:rsidP="000501F8">
    <w:pPr>
      <w:spacing w:after="0" w:line="240" w:lineRule="auto"/>
      <w:jc w:val="center"/>
      <w:rPr>
        <w:sz w:val="16"/>
        <w:szCs w:val="16"/>
      </w:rPr>
    </w:pPr>
    <w:r w:rsidRPr="000501F8">
      <w:rPr>
        <w:sz w:val="16"/>
        <w:szCs w:val="16"/>
      </w:rPr>
      <w:t>ANED 2017-18 – Disability assessment – Country report</w:t>
    </w:r>
  </w:p>
  <w:p w14:paraId="35210F0B" w14:textId="15220DE0" w:rsidR="00D35F94" w:rsidRPr="000501F8" w:rsidRDefault="00D35F94" w:rsidP="000501F8">
    <w:pPr>
      <w:spacing w:after="0" w:line="240" w:lineRule="auto"/>
      <w:jc w:val="center"/>
      <w:rPr>
        <w:b/>
        <w:sz w:val="16"/>
        <w:szCs w:val="16"/>
      </w:rPr>
    </w:pPr>
    <w:r>
      <w:rPr>
        <w:b/>
        <w:sz w:val="16"/>
        <w:szCs w:val="16"/>
      </w:rPr>
      <w:pict w14:anchorId="567AF41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524"/>
    <w:multiLevelType w:val="multilevel"/>
    <w:tmpl w:val="E5B03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14F27"/>
    <w:multiLevelType w:val="hybridMultilevel"/>
    <w:tmpl w:val="F1362ED6"/>
    <w:lvl w:ilvl="0" w:tplc="04080019">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92E68BE"/>
    <w:multiLevelType w:val="multilevel"/>
    <w:tmpl w:val="3F38CE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7B270E"/>
    <w:multiLevelType w:val="hybridMultilevel"/>
    <w:tmpl w:val="DC8EB6D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685833"/>
    <w:multiLevelType w:val="hybridMultilevel"/>
    <w:tmpl w:val="D3F4F5F2"/>
    <w:lvl w:ilvl="0" w:tplc="6A12B7E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F16D61"/>
    <w:multiLevelType w:val="hybridMultilevel"/>
    <w:tmpl w:val="D39EF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6A7C"/>
    <w:multiLevelType w:val="hybridMultilevel"/>
    <w:tmpl w:val="C17E8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2F1EB6"/>
    <w:multiLevelType w:val="multilevel"/>
    <w:tmpl w:val="E48E9D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B03AC2"/>
    <w:multiLevelType w:val="hybridMultilevel"/>
    <w:tmpl w:val="94AACDA4"/>
    <w:lvl w:ilvl="0" w:tplc="D07E241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C0C2F35"/>
    <w:multiLevelType w:val="hybridMultilevel"/>
    <w:tmpl w:val="63F65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A85B80"/>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3DB49AF"/>
    <w:multiLevelType w:val="hybridMultilevel"/>
    <w:tmpl w:val="EFC4B31C"/>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6B367B9"/>
    <w:multiLevelType w:val="hybridMultilevel"/>
    <w:tmpl w:val="0E343134"/>
    <w:lvl w:ilvl="0" w:tplc="C27CB7BA">
      <w:start w:val="3"/>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8D94F09"/>
    <w:multiLevelType w:val="hybridMultilevel"/>
    <w:tmpl w:val="7E4C9A60"/>
    <w:lvl w:ilvl="0" w:tplc="6A12B7E2">
      <w:numFmt w:val="bullet"/>
      <w:lvlText w:val="-"/>
      <w:lvlJc w:val="left"/>
      <w:pPr>
        <w:ind w:left="786" w:hanging="360"/>
      </w:pPr>
      <w:rPr>
        <w:rFonts w:ascii="Arial" w:eastAsiaTheme="minorHAnsi" w:hAnsi="Arial" w:cs="Aria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4" w15:restartNumberingAfterBreak="0">
    <w:nsid w:val="296008B6"/>
    <w:multiLevelType w:val="multilevel"/>
    <w:tmpl w:val="190081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AB52D57"/>
    <w:multiLevelType w:val="multilevel"/>
    <w:tmpl w:val="4D9271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2E6192"/>
    <w:multiLevelType w:val="hybridMultilevel"/>
    <w:tmpl w:val="C19886C8"/>
    <w:lvl w:ilvl="0" w:tplc="6A12B7E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2262852"/>
    <w:multiLevelType w:val="hybridMultilevel"/>
    <w:tmpl w:val="75EA14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4A059C"/>
    <w:multiLevelType w:val="multilevel"/>
    <w:tmpl w:val="E5B03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D6717D"/>
    <w:multiLevelType w:val="hybridMultilevel"/>
    <w:tmpl w:val="2EF6D87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358B4C48"/>
    <w:multiLevelType w:val="multilevel"/>
    <w:tmpl w:val="61182B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F0735E"/>
    <w:multiLevelType w:val="hybridMultilevel"/>
    <w:tmpl w:val="638EC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DA3072"/>
    <w:multiLevelType w:val="multilevel"/>
    <w:tmpl w:val="7506F49E"/>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9C67D3"/>
    <w:multiLevelType w:val="hybridMultilevel"/>
    <w:tmpl w:val="CB4CC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23272E"/>
    <w:multiLevelType w:val="hybridMultilevel"/>
    <w:tmpl w:val="8E085204"/>
    <w:lvl w:ilvl="0" w:tplc="52F03444">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725F74"/>
    <w:multiLevelType w:val="hybridMultilevel"/>
    <w:tmpl w:val="EA2A0A58"/>
    <w:lvl w:ilvl="0" w:tplc="0413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C64706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E74374"/>
    <w:multiLevelType w:val="multilevel"/>
    <w:tmpl w:val="E5B03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6922F2"/>
    <w:multiLevelType w:val="hybridMultilevel"/>
    <w:tmpl w:val="C29A07E0"/>
    <w:lvl w:ilvl="0" w:tplc="6A12B7E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B01534"/>
    <w:multiLevelType w:val="hybridMultilevel"/>
    <w:tmpl w:val="F22080D8"/>
    <w:lvl w:ilvl="0" w:tplc="FFE233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54C4D"/>
    <w:multiLevelType w:val="multilevel"/>
    <w:tmpl w:val="DB3297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580925"/>
    <w:multiLevelType w:val="hybridMultilevel"/>
    <w:tmpl w:val="F732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98027D"/>
    <w:multiLevelType w:val="hybridMultilevel"/>
    <w:tmpl w:val="83A86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42FA9"/>
    <w:multiLevelType w:val="multilevel"/>
    <w:tmpl w:val="359C21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696FFD"/>
    <w:multiLevelType w:val="hybridMultilevel"/>
    <w:tmpl w:val="141CB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AB2C04"/>
    <w:multiLevelType w:val="multilevel"/>
    <w:tmpl w:val="0408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60A2E4B"/>
    <w:multiLevelType w:val="multilevel"/>
    <w:tmpl w:val="3F38CE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67366B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32"/>
  </w:num>
  <w:num w:numId="3">
    <w:abstractNumId w:val="6"/>
  </w:num>
  <w:num w:numId="4">
    <w:abstractNumId w:val="31"/>
  </w:num>
  <w:num w:numId="5">
    <w:abstractNumId w:val="23"/>
  </w:num>
  <w:num w:numId="6">
    <w:abstractNumId w:val="9"/>
  </w:num>
  <w:num w:numId="7">
    <w:abstractNumId w:val="34"/>
  </w:num>
  <w:num w:numId="8">
    <w:abstractNumId w:val="5"/>
  </w:num>
  <w:num w:numId="9">
    <w:abstractNumId w:val="4"/>
  </w:num>
  <w:num w:numId="10">
    <w:abstractNumId w:val="24"/>
  </w:num>
  <w:num w:numId="11">
    <w:abstractNumId w:val="17"/>
  </w:num>
  <w:num w:numId="12">
    <w:abstractNumId w:val="21"/>
  </w:num>
  <w:num w:numId="13">
    <w:abstractNumId w:val="26"/>
  </w:num>
  <w:num w:numId="14">
    <w:abstractNumId w:val="35"/>
  </w:num>
  <w:num w:numId="15">
    <w:abstractNumId w:val="37"/>
  </w:num>
  <w:num w:numId="16">
    <w:abstractNumId w:val="7"/>
  </w:num>
  <w:num w:numId="17">
    <w:abstractNumId w:val="30"/>
  </w:num>
  <w:num w:numId="18">
    <w:abstractNumId w:val="15"/>
  </w:num>
  <w:num w:numId="19">
    <w:abstractNumId w:val="18"/>
  </w:num>
  <w:num w:numId="20">
    <w:abstractNumId w:val="2"/>
  </w:num>
  <w:num w:numId="21">
    <w:abstractNumId w:val="0"/>
  </w:num>
  <w:num w:numId="22">
    <w:abstractNumId w:val="27"/>
  </w:num>
  <w:num w:numId="23">
    <w:abstractNumId w:val="36"/>
  </w:num>
  <w:num w:numId="24">
    <w:abstractNumId w:val="22"/>
  </w:num>
  <w:num w:numId="25">
    <w:abstractNumId w:val="11"/>
  </w:num>
  <w:num w:numId="26">
    <w:abstractNumId w:val="20"/>
  </w:num>
  <w:num w:numId="27">
    <w:abstractNumId w:val="33"/>
  </w:num>
  <w:num w:numId="28">
    <w:abstractNumId w:val="3"/>
  </w:num>
  <w:num w:numId="29">
    <w:abstractNumId w:val="19"/>
  </w:num>
  <w:num w:numId="30">
    <w:abstractNumId w:val="8"/>
  </w:num>
  <w:num w:numId="31">
    <w:abstractNumId w:val="16"/>
  </w:num>
  <w:num w:numId="32">
    <w:abstractNumId w:val="13"/>
  </w:num>
  <w:num w:numId="33">
    <w:abstractNumId w:val="28"/>
  </w:num>
  <w:num w:numId="34">
    <w:abstractNumId w:val="25"/>
  </w:num>
  <w:num w:numId="35">
    <w:abstractNumId w:val="10"/>
  </w:num>
  <w:num w:numId="36">
    <w:abstractNumId w:val="14"/>
  </w:num>
  <w:num w:numId="37">
    <w:abstractNumId w:val="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23070"/>
    <w:rsid w:val="00001E2D"/>
    <w:rsid w:val="00004D57"/>
    <w:rsid w:val="0000551A"/>
    <w:rsid w:val="000056D6"/>
    <w:rsid w:val="000076E7"/>
    <w:rsid w:val="00007D7D"/>
    <w:rsid w:val="00010688"/>
    <w:rsid w:val="00015620"/>
    <w:rsid w:val="00015EB3"/>
    <w:rsid w:val="00016FE4"/>
    <w:rsid w:val="00020871"/>
    <w:rsid w:val="00022621"/>
    <w:rsid w:val="00022858"/>
    <w:rsid w:val="00022B98"/>
    <w:rsid w:val="00030D3E"/>
    <w:rsid w:val="00030F47"/>
    <w:rsid w:val="0003141C"/>
    <w:rsid w:val="00035665"/>
    <w:rsid w:val="000367AE"/>
    <w:rsid w:val="00037B11"/>
    <w:rsid w:val="0004015F"/>
    <w:rsid w:val="0004102A"/>
    <w:rsid w:val="000441AB"/>
    <w:rsid w:val="00044952"/>
    <w:rsid w:val="000454AB"/>
    <w:rsid w:val="00047C36"/>
    <w:rsid w:val="000501F8"/>
    <w:rsid w:val="00051B9B"/>
    <w:rsid w:val="00053C24"/>
    <w:rsid w:val="00053CDE"/>
    <w:rsid w:val="000547F9"/>
    <w:rsid w:val="00055EA4"/>
    <w:rsid w:val="000563E0"/>
    <w:rsid w:val="000567D6"/>
    <w:rsid w:val="000644A4"/>
    <w:rsid w:val="00064CEF"/>
    <w:rsid w:val="00070139"/>
    <w:rsid w:val="00072905"/>
    <w:rsid w:val="000729A8"/>
    <w:rsid w:val="000773CD"/>
    <w:rsid w:val="000840BF"/>
    <w:rsid w:val="00097591"/>
    <w:rsid w:val="000A004D"/>
    <w:rsid w:val="000A0484"/>
    <w:rsid w:val="000A0485"/>
    <w:rsid w:val="000A1350"/>
    <w:rsid w:val="000A3230"/>
    <w:rsid w:val="000A783B"/>
    <w:rsid w:val="000B0128"/>
    <w:rsid w:val="000B1F8A"/>
    <w:rsid w:val="000B244D"/>
    <w:rsid w:val="000B5D8B"/>
    <w:rsid w:val="000B71BF"/>
    <w:rsid w:val="000B7235"/>
    <w:rsid w:val="000C1B92"/>
    <w:rsid w:val="000C2BDE"/>
    <w:rsid w:val="000C3FDC"/>
    <w:rsid w:val="000C56F3"/>
    <w:rsid w:val="000C72AD"/>
    <w:rsid w:val="000C7E10"/>
    <w:rsid w:val="000D1659"/>
    <w:rsid w:val="000D2F89"/>
    <w:rsid w:val="000D3B13"/>
    <w:rsid w:val="000E000F"/>
    <w:rsid w:val="000E0A05"/>
    <w:rsid w:val="000E0E0A"/>
    <w:rsid w:val="000E19F0"/>
    <w:rsid w:val="000E1FEC"/>
    <w:rsid w:val="000E400D"/>
    <w:rsid w:val="000E4CE2"/>
    <w:rsid w:val="000E5ACC"/>
    <w:rsid w:val="000F02F4"/>
    <w:rsid w:val="000F169A"/>
    <w:rsid w:val="000F21BE"/>
    <w:rsid w:val="000F2BE2"/>
    <w:rsid w:val="000F4306"/>
    <w:rsid w:val="000F54E9"/>
    <w:rsid w:val="000F712B"/>
    <w:rsid w:val="0010143E"/>
    <w:rsid w:val="001016DF"/>
    <w:rsid w:val="00102A7C"/>
    <w:rsid w:val="0010306E"/>
    <w:rsid w:val="001109ED"/>
    <w:rsid w:val="00111950"/>
    <w:rsid w:val="001138BA"/>
    <w:rsid w:val="001154E1"/>
    <w:rsid w:val="00115A21"/>
    <w:rsid w:val="00123415"/>
    <w:rsid w:val="00126FF9"/>
    <w:rsid w:val="00127187"/>
    <w:rsid w:val="001318C5"/>
    <w:rsid w:val="0013257E"/>
    <w:rsid w:val="00134DBB"/>
    <w:rsid w:val="00135508"/>
    <w:rsid w:val="00136A53"/>
    <w:rsid w:val="00136F96"/>
    <w:rsid w:val="00140D79"/>
    <w:rsid w:val="00143A0B"/>
    <w:rsid w:val="00145DFD"/>
    <w:rsid w:val="00147B0A"/>
    <w:rsid w:val="0015085A"/>
    <w:rsid w:val="00150A7A"/>
    <w:rsid w:val="001513DE"/>
    <w:rsid w:val="001522D4"/>
    <w:rsid w:val="001565E4"/>
    <w:rsid w:val="00157056"/>
    <w:rsid w:val="0015742E"/>
    <w:rsid w:val="0016063B"/>
    <w:rsid w:val="001621F5"/>
    <w:rsid w:val="00165822"/>
    <w:rsid w:val="00166120"/>
    <w:rsid w:val="001713EC"/>
    <w:rsid w:val="00173FA2"/>
    <w:rsid w:val="00177E4E"/>
    <w:rsid w:val="00181CFB"/>
    <w:rsid w:val="00183F98"/>
    <w:rsid w:val="00184F4D"/>
    <w:rsid w:val="0019038B"/>
    <w:rsid w:val="001909EE"/>
    <w:rsid w:val="00192EE3"/>
    <w:rsid w:val="0019576C"/>
    <w:rsid w:val="001973A1"/>
    <w:rsid w:val="001A20B2"/>
    <w:rsid w:val="001A3BE3"/>
    <w:rsid w:val="001B24BB"/>
    <w:rsid w:val="001B2CF0"/>
    <w:rsid w:val="001B37B8"/>
    <w:rsid w:val="001B61C1"/>
    <w:rsid w:val="001B71EA"/>
    <w:rsid w:val="001C3A8A"/>
    <w:rsid w:val="001C44C2"/>
    <w:rsid w:val="001C7869"/>
    <w:rsid w:val="001D00C3"/>
    <w:rsid w:val="001D1E14"/>
    <w:rsid w:val="001E1FEC"/>
    <w:rsid w:val="001F063F"/>
    <w:rsid w:val="001F0B10"/>
    <w:rsid w:val="001F357F"/>
    <w:rsid w:val="001F4C08"/>
    <w:rsid w:val="001F506B"/>
    <w:rsid w:val="001F799A"/>
    <w:rsid w:val="00200156"/>
    <w:rsid w:val="00201F4C"/>
    <w:rsid w:val="002025E5"/>
    <w:rsid w:val="00204536"/>
    <w:rsid w:val="00204945"/>
    <w:rsid w:val="00206415"/>
    <w:rsid w:val="0021382F"/>
    <w:rsid w:val="00213A7B"/>
    <w:rsid w:val="00214951"/>
    <w:rsid w:val="00216609"/>
    <w:rsid w:val="002174E7"/>
    <w:rsid w:val="002258D5"/>
    <w:rsid w:val="00225E5E"/>
    <w:rsid w:val="00233D7C"/>
    <w:rsid w:val="00233E3B"/>
    <w:rsid w:val="0023773C"/>
    <w:rsid w:val="00237F00"/>
    <w:rsid w:val="00242A83"/>
    <w:rsid w:val="00243714"/>
    <w:rsid w:val="00244237"/>
    <w:rsid w:val="00245E24"/>
    <w:rsid w:val="00246863"/>
    <w:rsid w:val="00256470"/>
    <w:rsid w:val="00256A6C"/>
    <w:rsid w:val="0025753C"/>
    <w:rsid w:val="00257C72"/>
    <w:rsid w:val="002603DC"/>
    <w:rsid w:val="00264402"/>
    <w:rsid w:val="002651D3"/>
    <w:rsid w:val="00265AF9"/>
    <w:rsid w:val="002663D1"/>
    <w:rsid w:val="00272CAF"/>
    <w:rsid w:val="00272E88"/>
    <w:rsid w:val="0027319A"/>
    <w:rsid w:val="002760A3"/>
    <w:rsid w:val="00281B0E"/>
    <w:rsid w:val="00282A41"/>
    <w:rsid w:val="00285F64"/>
    <w:rsid w:val="002936E1"/>
    <w:rsid w:val="00293DD9"/>
    <w:rsid w:val="00296481"/>
    <w:rsid w:val="002A1CCA"/>
    <w:rsid w:val="002A215D"/>
    <w:rsid w:val="002A2708"/>
    <w:rsid w:val="002A77F1"/>
    <w:rsid w:val="002B103D"/>
    <w:rsid w:val="002B134E"/>
    <w:rsid w:val="002B3B3A"/>
    <w:rsid w:val="002B5253"/>
    <w:rsid w:val="002B774A"/>
    <w:rsid w:val="002C2DE5"/>
    <w:rsid w:val="002C5FCD"/>
    <w:rsid w:val="002C75FC"/>
    <w:rsid w:val="002D0B17"/>
    <w:rsid w:val="002D1019"/>
    <w:rsid w:val="002D415A"/>
    <w:rsid w:val="002D64E0"/>
    <w:rsid w:val="002E0E7E"/>
    <w:rsid w:val="002E1D10"/>
    <w:rsid w:val="002E1DE3"/>
    <w:rsid w:val="002E3D53"/>
    <w:rsid w:val="002E494D"/>
    <w:rsid w:val="002F695B"/>
    <w:rsid w:val="00302279"/>
    <w:rsid w:val="003032C6"/>
    <w:rsid w:val="00310890"/>
    <w:rsid w:val="003135D2"/>
    <w:rsid w:val="0031419B"/>
    <w:rsid w:val="003148CA"/>
    <w:rsid w:val="00320E2C"/>
    <w:rsid w:val="003234B4"/>
    <w:rsid w:val="00325552"/>
    <w:rsid w:val="00331BB5"/>
    <w:rsid w:val="003327C4"/>
    <w:rsid w:val="00333539"/>
    <w:rsid w:val="0033478D"/>
    <w:rsid w:val="0033526B"/>
    <w:rsid w:val="00341CC7"/>
    <w:rsid w:val="003424A0"/>
    <w:rsid w:val="00344B3D"/>
    <w:rsid w:val="0034591F"/>
    <w:rsid w:val="00351D1F"/>
    <w:rsid w:val="003521B8"/>
    <w:rsid w:val="00352A0F"/>
    <w:rsid w:val="0035416A"/>
    <w:rsid w:val="00355171"/>
    <w:rsid w:val="00356CF3"/>
    <w:rsid w:val="00357E19"/>
    <w:rsid w:val="003621F8"/>
    <w:rsid w:val="00362D3C"/>
    <w:rsid w:val="00365CE3"/>
    <w:rsid w:val="00367A42"/>
    <w:rsid w:val="00367E62"/>
    <w:rsid w:val="00370F43"/>
    <w:rsid w:val="00372FC6"/>
    <w:rsid w:val="00377644"/>
    <w:rsid w:val="00384709"/>
    <w:rsid w:val="00384D70"/>
    <w:rsid w:val="00387A9A"/>
    <w:rsid w:val="00390EBB"/>
    <w:rsid w:val="003927E6"/>
    <w:rsid w:val="0039325B"/>
    <w:rsid w:val="0039642A"/>
    <w:rsid w:val="00396D95"/>
    <w:rsid w:val="003A2CAB"/>
    <w:rsid w:val="003A2F32"/>
    <w:rsid w:val="003A3143"/>
    <w:rsid w:val="003A637C"/>
    <w:rsid w:val="003B30F4"/>
    <w:rsid w:val="003C4F59"/>
    <w:rsid w:val="003C513B"/>
    <w:rsid w:val="003C6A55"/>
    <w:rsid w:val="003D32CB"/>
    <w:rsid w:val="003D52A1"/>
    <w:rsid w:val="003D7F20"/>
    <w:rsid w:val="003E0874"/>
    <w:rsid w:val="003E0A8D"/>
    <w:rsid w:val="003E18C2"/>
    <w:rsid w:val="003E1BD7"/>
    <w:rsid w:val="003E28B6"/>
    <w:rsid w:val="003E2ED8"/>
    <w:rsid w:val="003E505D"/>
    <w:rsid w:val="003E56AC"/>
    <w:rsid w:val="003E59D6"/>
    <w:rsid w:val="003F2998"/>
    <w:rsid w:val="003F2BD5"/>
    <w:rsid w:val="00401029"/>
    <w:rsid w:val="00401811"/>
    <w:rsid w:val="0040233A"/>
    <w:rsid w:val="0040469D"/>
    <w:rsid w:val="00410AE7"/>
    <w:rsid w:val="004129A6"/>
    <w:rsid w:val="00412BF1"/>
    <w:rsid w:val="00414798"/>
    <w:rsid w:val="00416701"/>
    <w:rsid w:val="00420316"/>
    <w:rsid w:val="00421760"/>
    <w:rsid w:val="00422C86"/>
    <w:rsid w:val="00426124"/>
    <w:rsid w:val="00426E12"/>
    <w:rsid w:val="00430B02"/>
    <w:rsid w:val="0043295C"/>
    <w:rsid w:val="0043471B"/>
    <w:rsid w:val="00437FE9"/>
    <w:rsid w:val="004422B8"/>
    <w:rsid w:val="00455596"/>
    <w:rsid w:val="00457112"/>
    <w:rsid w:val="00460C81"/>
    <w:rsid w:val="0046406C"/>
    <w:rsid w:val="00464E44"/>
    <w:rsid w:val="004659DD"/>
    <w:rsid w:val="00467BD0"/>
    <w:rsid w:val="004704DE"/>
    <w:rsid w:val="004715B6"/>
    <w:rsid w:val="00471600"/>
    <w:rsid w:val="00471B34"/>
    <w:rsid w:val="00474BE2"/>
    <w:rsid w:val="00475B76"/>
    <w:rsid w:val="004765E1"/>
    <w:rsid w:val="00482973"/>
    <w:rsid w:val="00482C26"/>
    <w:rsid w:val="00482DD2"/>
    <w:rsid w:val="00483F33"/>
    <w:rsid w:val="004878F9"/>
    <w:rsid w:val="0049225A"/>
    <w:rsid w:val="004A019B"/>
    <w:rsid w:val="004A0639"/>
    <w:rsid w:val="004A10EC"/>
    <w:rsid w:val="004A11F6"/>
    <w:rsid w:val="004A2796"/>
    <w:rsid w:val="004A6255"/>
    <w:rsid w:val="004A6313"/>
    <w:rsid w:val="004B4EC1"/>
    <w:rsid w:val="004B569C"/>
    <w:rsid w:val="004B6F02"/>
    <w:rsid w:val="004C0E3C"/>
    <w:rsid w:val="004C33F7"/>
    <w:rsid w:val="004C78B1"/>
    <w:rsid w:val="004D1770"/>
    <w:rsid w:val="004D2416"/>
    <w:rsid w:val="004D29AC"/>
    <w:rsid w:val="004D3044"/>
    <w:rsid w:val="004D4A2D"/>
    <w:rsid w:val="004D6546"/>
    <w:rsid w:val="004D757F"/>
    <w:rsid w:val="004E0D89"/>
    <w:rsid w:val="004E2199"/>
    <w:rsid w:val="004E5671"/>
    <w:rsid w:val="004F12D5"/>
    <w:rsid w:val="004F27C8"/>
    <w:rsid w:val="004F4897"/>
    <w:rsid w:val="004F4C3D"/>
    <w:rsid w:val="004F6338"/>
    <w:rsid w:val="0050000A"/>
    <w:rsid w:val="0050130C"/>
    <w:rsid w:val="00503FA5"/>
    <w:rsid w:val="00507602"/>
    <w:rsid w:val="00511D0B"/>
    <w:rsid w:val="005157A6"/>
    <w:rsid w:val="005159B4"/>
    <w:rsid w:val="00517809"/>
    <w:rsid w:val="00517EB3"/>
    <w:rsid w:val="00521120"/>
    <w:rsid w:val="00521FB4"/>
    <w:rsid w:val="00523855"/>
    <w:rsid w:val="00523D46"/>
    <w:rsid w:val="0052469D"/>
    <w:rsid w:val="00524957"/>
    <w:rsid w:val="00524DD8"/>
    <w:rsid w:val="00525F14"/>
    <w:rsid w:val="00526737"/>
    <w:rsid w:val="005267CD"/>
    <w:rsid w:val="00526D4E"/>
    <w:rsid w:val="00526E17"/>
    <w:rsid w:val="005278FD"/>
    <w:rsid w:val="005279A6"/>
    <w:rsid w:val="0053038E"/>
    <w:rsid w:val="0053075A"/>
    <w:rsid w:val="00533895"/>
    <w:rsid w:val="005367D2"/>
    <w:rsid w:val="00546BD4"/>
    <w:rsid w:val="0055117D"/>
    <w:rsid w:val="005536FF"/>
    <w:rsid w:val="00556ADF"/>
    <w:rsid w:val="005570A1"/>
    <w:rsid w:val="005604DB"/>
    <w:rsid w:val="00563C71"/>
    <w:rsid w:val="00566050"/>
    <w:rsid w:val="00566837"/>
    <w:rsid w:val="00567B61"/>
    <w:rsid w:val="0057284F"/>
    <w:rsid w:val="00573610"/>
    <w:rsid w:val="0058345B"/>
    <w:rsid w:val="00585248"/>
    <w:rsid w:val="005902AD"/>
    <w:rsid w:val="00590A95"/>
    <w:rsid w:val="005910BF"/>
    <w:rsid w:val="005940DE"/>
    <w:rsid w:val="00595A9D"/>
    <w:rsid w:val="005971E7"/>
    <w:rsid w:val="005A36F1"/>
    <w:rsid w:val="005A50FC"/>
    <w:rsid w:val="005A53C4"/>
    <w:rsid w:val="005B151A"/>
    <w:rsid w:val="005B36BF"/>
    <w:rsid w:val="005B5139"/>
    <w:rsid w:val="005B6910"/>
    <w:rsid w:val="005B7395"/>
    <w:rsid w:val="005C008E"/>
    <w:rsid w:val="005C17F8"/>
    <w:rsid w:val="005C286B"/>
    <w:rsid w:val="005C3021"/>
    <w:rsid w:val="005C339E"/>
    <w:rsid w:val="005C5A8D"/>
    <w:rsid w:val="005C7BA3"/>
    <w:rsid w:val="005D0D4A"/>
    <w:rsid w:val="005D2A2E"/>
    <w:rsid w:val="005D3AB8"/>
    <w:rsid w:val="005D67AB"/>
    <w:rsid w:val="005E08C9"/>
    <w:rsid w:val="005E0ED2"/>
    <w:rsid w:val="005E2839"/>
    <w:rsid w:val="005E5290"/>
    <w:rsid w:val="005E6060"/>
    <w:rsid w:val="005E7191"/>
    <w:rsid w:val="005E7204"/>
    <w:rsid w:val="005E7467"/>
    <w:rsid w:val="005E77F1"/>
    <w:rsid w:val="005F3D51"/>
    <w:rsid w:val="005F5A63"/>
    <w:rsid w:val="005F6D89"/>
    <w:rsid w:val="00603567"/>
    <w:rsid w:val="006035A2"/>
    <w:rsid w:val="006037CE"/>
    <w:rsid w:val="00614885"/>
    <w:rsid w:val="0061517C"/>
    <w:rsid w:val="00615181"/>
    <w:rsid w:val="00621613"/>
    <w:rsid w:val="00624010"/>
    <w:rsid w:val="0062414E"/>
    <w:rsid w:val="00625CBC"/>
    <w:rsid w:val="0063409A"/>
    <w:rsid w:val="00634854"/>
    <w:rsid w:val="00634C10"/>
    <w:rsid w:val="00637397"/>
    <w:rsid w:val="006425CA"/>
    <w:rsid w:val="006436B2"/>
    <w:rsid w:val="00644435"/>
    <w:rsid w:val="00646469"/>
    <w:rsid w:val="00651C6D"/>
    <w:rsid w:val="00654F69"/>
    <w:rsid w:val="006559F4"/>
    <w:rsid w:val="006566A8"/>
    <w:rsid w:val="00661168"/>
    <w:rsid w:val="00663991"/>
    <w:rsid w:val="00663E50"/>
    <w:rsid w:val="00664336"/>
    <w:rsid w:val="0066715A"/>
    <w:rsid w:val="006715B9"/>
    <w:rsid w:val="00671897"/>
    <w:rsid w:val="006722DF"/>
    <w:rsid w:val="00673C5E"/>
    <w:rsid w:val="006747FD"/>
    <w:rsid w:val="006772AA"/>
    <w:rsid w:val="006776C3"/>
    <w:rsid w:val="00683A0B"/>
    <w:rsid w:val="006840A4"/>
    <w:rsid w:val="00690094"/>
    <w:rsid w:val="00690FD5"/>
    <w:rsid w:val="006927A4"/>
    <w:rsid w:val="00692B4E"/>
    <w:rsid w:val="0069407F"/>
    <w:rsid w:val="0069502D"/>
    <w:rsid w:val="006A41C4"/>
    <w:rsid w:val="006A466B"/>
    <w:rsid w:val="006A5EA3"/>
    <w:rsid w:val="006B301C"/>
    <w:rsid w:val="006B4D6B"/>
    <w:rsid w:val="006C10F2"/>
    <w:rsid w:val="006C18AF"/>
    <w:rsid w:val="006C4C5D"/>
    <w:rsid w:val="006C52C8"/>
    <w:rsid w:val="006D2930"/>
    <w:rsid w:val="006D2E52"/>
    <w:rsid w:val="006E18F2"/>
    <w:rsid w:val="006E54B0"/>
    <w:rsid w:val="006F01D6"/>
    <w:rsid w:val="006F1100"/>
    <w:rsid w:val="006F48EB"/>
    <w:rsid w:val="006F658D"/>
    <w:rsid w:val="007011E6"/>
    <w:rsid w:val="00705708"/>
    <w:rsid w:val="00705F2B"/>
    <w:rsid w:val="0070650A"/>
    <w:rsid w:val="00711E43"/>
    <w:rsid w:val="00714F20"/>
    <w:rsid w:val="00717E0D"/>
    <w:rsid w:val="00724F0B"/>
    <w:rsid w:val="00730EDD"/>
    <w:rsid w:val="007330F8"/>
    <w:rsid w:val="00733450"/>
    <w:rsid w:val="00733B7C"/>
    <w:rsid w:val="00735CA0"/>
    <w:rsid w:val="00735EDD"/>
    <w:rsid w:val="00746C29"/>
    <w:rsid w:val="00747313"/>
    <w:rsid w:val="00747332"/>
    <w:rsid w:val="00751E62"/>
    <w:rsid w:val="00754ABE"/>
    <w:rsid w:val="007555CF"/>
    <w:rsid w:val="007563DB"/>
    <w:rsid w:val="00757930"/>
    <w:rsid w:val="007618D4"/>
    <w:rsid w:val="007623D9"/>
    <w:rsid w:val="007638E2"/>
    <w:rsid w:val="007732DB"/>
    <w:rsid w:val="00774A41"/>
    <w:rsid w:val="00777534"/>
    <w:rsid w:val="00780B72"/>
    <w:rsid w:val="007833BC"/>
    <w:rsid w:val="00785399"/>
    <w:rsid w:val="0079172E"/>
    <w:rsid w:val="00793E11"/>
    <w:rsid w:val="0079506D"/>
    <w:rsid w:val="007974D0"/>
    <w:rsid w:val="00797704"/>
    <w:rsid w:val="007A214B"/>
    <w:rsid w:val="007A2991"/>
    <w:rsid w:val="007A65D4"/>
    <w:rsid w:val="007A699C"/>
    <w:rsid w:val="007A725E"/>
    <w:rsid w:val="007A79ED"/>
    <w:rsid w:val="007B042D"/>
    <w:rsid w:val="007B584D"/>
    <w:rsid w:val="007B68FD"/>
    <w:rsid w:val="007C0641"/>
    <w:rsid w:val="007C0655"/>
    <w:rsid w:val="007C2655"/>
    <w:rsid w:val="007C799B"/>
    <w:rsid w:val="007D263B"/>
    <w:rsid w:val="007E1151"/>
    <w:rsid w:val="007E1CB8"/>
    <w:rsid w:val="007E2DB7"/>
    <w:rsid w:val="007F10BF"/>
    <w:rsid w:val="007F2E79"/>
    <w:rsid w:val="007F4975"/>
    <w:rsid w:val="007F5582"/>
    <w:rsid w:val="008008DB"/>
    <w:rsid w:val="00805C89"/>
    <w:rsid w:val="00806FAA"/>
    <w:rsid w:val="008155E6"/>
    <w:rsid w:val="00816591"/>
    <w:rsid w:val="00816A92"/>
    <w:rsid w:val="00822488"/>
    <w:rsid w:val="008224D6"/>
    <w:rsid w:val="008249BF"/>
    <w:rsid w:val="00824BA0"/>
    <w:rsid w:val="00824C2E"/>
    <w:rsid w:val="008267B1"/>
    <w:rsid w:val="008302E8"/>
    <w:rsid w:val="0083318A"/>
    <w:rsid w:val="00833C49"/>
    <w:rsid w:val="00835A60"/>
    <w:rsid w:val="0083697E"/>
    <w:rsid w:val="00836FC1"/>
    <w:rsid w:val="008372AA"/>
    <w:rsid w:val="0083786F"/>
    <w:rsid w:val="00837B7D"/>
    <w:rsid w:val="0084270E"/>
    <w:rsid w:val="00842A0E"/>
    <w:rsid w:val="0084308F"/>
    <w:rsid w:val="00843AD6"/>
    <w:rsid w:val="00846FD5"/>
    <w:rsid w:val="00847872"/>
    <w:rsid w:val="00851CC7"/>
    <w:rsid w:val="00854397"/>
    <w:rsid w:val="00860F40"/>
    <w:rsid w:val="00861A45"/>
    <w:rsid w:val="008625C6"/>
    <w:rsid w:val="0086404E"/>
    <w:rsid w:val="00865CB1"/>
    <w:rsid w:val="00867997"/>
    <w:rsid w:val="00873FA1"/>
    <w:rsid w:val="00876FCD"/>
    <w:rsid w:val="008770B6"/>
    <w:rsid w:val="00881633"/>
    <w:rsid w:val="00882329"/>
    <w:rsid w:val="008859F9"/>
    <w:rsid w:val="008A1A67"/>
    <w:rsid w:val="008A541A"/>
    <w:rsid w:val="008B0D77"/>
    <w:rsid w:val="008B1FF4"/>
    <w:rsid w:val="008B250E"/>
    <w:rsid w:val="008C054F"/>
    <w:rsid w:val="008C149D"/>
    <w:rsid w:val="008C16E8"/>
    <w:rsid w:val="008C3283"/>
    <w:rsid w:val="008C7C5F"/>
    <w:rsid w:val="008C7D08"/>
    <w:rsid w:val="008D3CB8"/>
    <w:rsid w:val="008E083E"/>
    <w:rsid w:val="008E2656"/>
    <w:rsid w:val="008E5DF2"/>
    <w:rsid w:val="008E6B51"/>
    <w:rsid w:val="008F4443"/>
    <w:rsid w:val="008F4587"/>
    <w:rsid w:val="008F466D"/>
    <w:rsid w:val="00900BAF"/>
    <w:rsid w:val="009017E1"/>
    <w:rsid w:val="009021DE"/>
    <w:rsid w:val="009024A2"/>
    <w:rsid w:val="0090407D"/>
    <w:rsid w:val="009055C9"/>
    <w:rsid w:val="009065B8"/>
    <w:rsid w:val="009069DC"/>
    <w:rsid w:val="00910262"/>
    <w:rsid w:val="009146EA"/>
    <w:rsid w:val="00914D63"/>
    <w:rsid w:val="00917167"/>
    <w:rsid w:val="009217CA"/>
    <w:rsid w:val="00924F8A"/>
    <w:rsid w:val="00925618"/>
    <w:rsid w:val="009307F8"/>
    <w:rsid w:val="00930A68"/>
    <w:rsid w:val="00935542"/>
    <w:rsid w:val="00935E0C"/>
    <w:rsid w:val="00937110"/>
    <w:rsid w:val="00940136"/>
    <w:rsid w:val="0094032B"/>
    <w:rsid w:val="009437BA"/>
    <w:rsid w:val="00944328"/>
    <w:rsid w:val="00946681"/>
    <w:rsid w:val="00951052"/>
    <w:rsid w:val="0095325B"/>
    <w:rsid w:val="00954AFA"/>
    <w:rsid w:val="0095726E"/>
    <w:rsid w:val="009572FE"/>
    <w:rsid w:val="00957730"/>
    <w:rsid w:val="009577A5"/>
    <w:rsid w:val="0096013A"/>
    <w:rsid w:val="00960218"/>
    <w:rsid w:val="00962850"/>
    <w:rsid w:val="00962E78"/>
    <w:rsid w:val="00966ED1"/>
    <w:rsid w:val="0097265B"/>
    <w:rsid w:val="0098049A"/>
    <w:rsid w:val="00983D2B"/>
    <w:rsid w:val="00987304"/>
    <w:rsid w:val="00990664"/>
    <w:rsid w:val="0099345C"/>
    <w:rsid w:val="009A0317"/>
    <w:rsid w:val="009A322E"/>
    <w:rsid w:val="009A5C45"/>
    <w:rsid w:val="009B0203"/>
    <w:rsid w:val="009B0324"/>
    <w:rsid w:val="009B0709"/>
    <w:rsid w:val="009B2A46"/>
    <w:rsid w:val="009C602E"/>
    <w:rsid w:val="009C6CA8"/>
    <w:rsid w:val="009C7627"/>
    <w:rsid w:val="009C7A75"/>
    <w:rsid w:val="009D0ACF"/>
    <w:rsid w:val="009D12F0"/>
    <w:rsid w:val="009D5872"/>
    <w:rsid w:val="009D7D57"/>
    <w:rsid w:val="009E0B96"/>
    <w:rsid w:val="009E1382"/>
    <w:rsid w:val="009E13F9"/>
    <w:rsid w:val="009E33EA"/>
    <w:rsid w:val="009E6C69"/>
    <w:rsid w:val="009E7819"/>
    <w:rsid w:val="009F04D7"/>
    <w:rsid w:val="009F067E"/>
    <w:rsid w:val="009F2582"/>
    <w:rsid w:val="009F5C19"/>
    <w:rsid w:val="009F6E27"/>
    <w:rsid w:val="00A03DBE"/>
    <w:rsid w:val="00A10603"/>
    <w:rsid w:val="00A14DB6"/>
    <w:rsid w:val="00A17092"/>
    <w:rsid w:val="00A2009B"/>
    <w:rsid w:val="00A20DBE"/>
    <w:rsid w:val="00A24E89"/>
    <w:rsid w:val="00A2712E"/>
    <w:rsid w:val="00A27A0A"/>
    <w:rsid w:val="00A3073C"/>
    <w:rsid w:val="00A30D5F"/>
    <w:rsid w:val="00A35EA6"/>
    <w:rsid w:val="00A40978"/>
    <w:rsid w:val="00A411A3"/>
    <w:rsid w:val="00A426E1"/>
    <w:rsid w:val="00A448E2"/>
    <w:rsid w:val="00A46085"/>
    <w:rsid w:val="00A46390"/>
    <w:rsid w:val="00A50530"/>
    <w:rsid w:val="00A5448B"/>
    <w:rsid w:val="00A61F7E"/>
    <w:rsid w:val="00A62489"/>
    <w:rsid w:val="00A64CE2"/>
    <w:rsid w:val="00A64DAA"/>
    <w:rsid w:val="00A6796F"/>
    <w:rsid w:val="00A7076E"/>
    <w:rsid w:val="00A76C29"/>
    <w:rsid w:val="00A779C3"/>
    <w:rsid w:val="00A82F7C"/>
    <w:rsid w:val="00A83940"/>
    <w:rsid w:val="00A84BB4"/>
    <w:rsid w:val="00A84D16"/>
    <w:rsid w:val="00A85B24"/>
    <w:rsid w:val="00A85D49"/>
    <w:rsid w:val="00A87EF0"/>
    <w:rsid w:val="00A94D04"/>
    <w:rsid w:val="00A94DA4"/>
    <w:rsid w:val="00A96844"/>
    <w:rsid w:val="00A97211"/>
    <w:rsid w:val="00A975F5"/>
    <w:rsid w:val="00AA00F3"/>
    <w:rsid w:val="00AA3988"/>
    <w:rsid w:val="00AA4870"/>
    <w:rsid w:val="00AA71C0"/>
    <w:rsid w:val="00AA7578"/>
    <w:rsid w:val="00AA7772"/>
    <w:rsid w:val="00AA7787"/>
    <w:rsid w:val="00AA7A1D"/>
    <w:rsid w:val="00AB038B"/>
    <w:rsid w:val="00AB184C"/>
    <w:rsid w:val="00AB695E"/>
    <w:rsid w:val="00AB6EB1"/>
    <w:rsid w:val="00AB760C"/>
    <w:rsid w:val="00AC1C8F"/>
    <w:rsid w:val="00AC67F0"/>
    <w:rsid w:val="00AC6E6D"/>
    <w:rsid w:val="00AD1463"/>
    <w:rsid w:val="00AD266A"/>
    <w:rsid w:val="00AD26CB"/>
    <w:rsid w:val="00AD4993"/>
    <w:rsid w:val="00AD78D0"/>
    <w:rsid w:val="00AE6E3A"/>
    <w:rsid w:val="00AE7BC9"/>
    <w:rsid w:val="00AF0CC7"/>
    <w:rsid w:val="00AF0FAF"/>
    <w:rsid w:val="00AF1234"/>
    <w:rsid w:val="00AF1385"/>
    <w:rsid w:val="00AF451B"/>
    <w:rsid w:val="00AF5621"/>
    <w:rsid w:val="00AF65DE"/>
    <w:rsid w:val="00B03FBD"/>
    <w:rsid w:val="00B046F3"/>
    <w:rsid w:val="00B07D18"/>
    <w:rsid w:val="00B07DEF"/>
    <w:rsid w:val="00B111F1"/>
    <w:rsid w:val="00B1143D"/>
    <w:rsid w:val="00B11511"/>
    <w:rsid w:val="00B131FF"/>
    <w:rsid w:val="00B1477D"/>
    <w:rsid w:val="00B17E3F"/>
    <w:rsid w:val="00B224A5"/>
    <w:rsid w:val="00B2735C"/>
    <w:rsid w:val="00B333D2"/>
    <w:rsid w:val="00B3518B"/>
    <w:rsid w:val="00B36027"/>
    <w:rsid w:val="00B4096A"/>
    <w:rsid w:val="00B4156B"/>
    <w:rsid w:val="00B45487"/>
    <w:rsid w:val="00B53759"/>
    <w:rsid w:val="00B61E21"/>
    <w:rsid w:val="00B61FC7"/>
    <w:rsid w:val="00B64A53"/>
    <w:rsid w:val="00B6585B"/>
    <w:rsid w:val="00B70BCE"/>
    <w:rsid w:val="00B7253C"/>
    <w:rsid w:val="00B7283B"/>
    <w:rsid w:val="00B7632B"/>
    <w:rsid w:val="00B81B47"/>
    <w:rsid w:val="00B843E6"/>
    <w:rsid w:val="00B86522"/>
    <w:rsid w:val="00B91D6B"/>
    <w:rsid w:val="00B939DB"/>
    <w:rsid w:val="00BA04DB"/>
    <w:rsid w:val="00BA1C7A"/>
    <w:rsid w:val="00BA364D"/>
    <w:rsid w:val="00BA3671"/>
    <w:rsid w:val="00BB1BA1"/>
    <w:rsid w:val="00BB3EE8"/>
    <w:rsid w:val="00BB64CA"/>
    <w:rsid w:val="00BB6819"/>
    <w:rsid w:val="00BB7C14"/>
    <w:rsid w:val="00BC0651"/>
    <w:rsid w:val="00BC2187"/>
    <w:rsid w:val="00BC4EAB"/>
    <w:rsid w:val="00BD2184"/>
    <w:rsid w:val="00BD248B"/>
    <w:rsid w:val="00BE0309"/>
    <w:rsid w:val="00BE6F15"/>
    <w:rsid w:val="00BF03FB"/>
    <w:rsid w:val="00BF0604"/>
    <w:rsid w:val="00BF1BDB"/>
    <w:rsid w:val="00C10C2D"/>
    <w:rsid w:val="00C10D58"/>
    <w:rsid w:val="00C11803"/>
    <w:rsid w:val="00C13609"/>
    <w:rsid w:val="00C20496"/>
    <w:rsid w:val="00C23CCC"/>
    <w:rsid w:val="00C243D6"/>
    <w:rsid w:val="00C30116"/>
    <w:rsid w:val="00C30FA5"/>
    <w:rsid w:val="00C31FC8"/>
    <w:rsid w:val="00C36EF6"/>
    <w:rsid w:val="00C41EF8"/>
    <w:rsid w:val="00C4256D"/>
    <w:rsid w:val="00C46AD6"/>
    <w:rsid w:val="00C51D29"/>
    <w:rsid w:val="00C52E8D"/>
    <w:rsid w:val="00C578AA"/>
    <w:rsid w:val="00C63E5F"/>
    <w:rsid w:val="00C7039F"/>
    <w:rsid w:val="00C724DC"/>
    <w:rsid w:val="00C811E3"/>
    <w:rsid w:val="00C83974"/>
    <w:rsid w:val="00C861F3"/>
    <w:rsid w:val="00C90D4D"/>
    <w:rsid w:val="00C91CB4"/>
    <w:rsid w:val="00CA59EC"/>
    <w:rsid w:val="00CA7CE5"/>
    <w:rsid w:val="00CB2504"/>
    <w:rsid w:val="00CB2CB6"/>
    <w:rsid w:val="00CC182A"/>
    <w:rsid w:val="00CC2A11"/>
    <w:rsid w:val="00CC4254"/>
    <w:rsid w:val="00CC5CF2"/>
    <w:rsid w:val="00CC6700"/>
    <w:rsid w:val="00CD5E84"/>
    <w:rsid w:val="00CE2590"/>
    <w:rsid w:val="00CE4450"/>
    <w:rsid w:val="00CE4DC7"/>
    <w:rsid w:val="00CE56C0"/>
    <w:rsid w:val="00CE5E38"/>
    <w:rsid w:val="00CE6FA2"/>
    <w:rsid w:val="00CF2B9E"/>
    <w:rsid w:val="00CF2D63"/>
    <w:rsid w:val="00D01AA4"/>
    <w:rsid w:val="00D03046"/>
    <w:rsid w:val="00D0341E"/>
    <w:rsid w:val="00D03A86"/>
    <w:rsid w:val="00D06502"/>
    <w:rsid w:val="00D0729B"/>
    <w:rsid w:val="00D130B9"/>
    <w:rsid w:val="00D13D50"/>
    <w:rsid w:val="00D140C0"/>
    <w:rsid w:val="00D1447C"/>
    <w:rsid w:val="00D20078"/>
    <w:rsid w:val="00D205A4"/>
    <w:rsid w:val="00D22EDE"/>
    <w:rsid w:val="00D2345F"/>
    <w:rsid w:val="00D24445"/>
    <w:rsid w:val="00D24D71"/>
    <w:rsid w:val="00D307F3"/>
    <w:rsid w:val="00D35F94"/>
    <w:rsid w:val="00D40127"/>
    <w:rsid w:val="00D41E8E"/>
    <w:rsid w:val="00D427B5"/>
    <w:rsid w:val="00D44EF0"/>
    <w:rsid w:val="00D46D47"/>
    <w:rsid w:val="00D479E7"/>
    <w:rsid w:val="00D60139"/>
    <w:rsid w:val="00D6061C"/>
    <w:rsid w:val="00D6093A"/>
    <w:rsid w:val="00D71308"/>
    <w:rsid w:val="00D7135A"/>
    <w:rsid w:val="00D71550"/>
    <w:rsid w:val="00D72439"/>
    <w:rsid w:val="00D750D6"/>
    <w:rsid w:val="00D766D6"/>
    <w:rsid w:val="00D81100"/>
    <w:rsid w:val="00D82FF2"/>
    <w:rsid w:val="00D86A48"/>
    <w:rsid w:val="00D903F2"/>
    <w:rsid w:val="00D979EB"/>
    <w:rsid w:val="00DA05E4"/>
    <w:rsid w:val="00DA3626"/>
    <w:rsid w:val="00DA45E4"/>
    <w:rsid w:val="00DA722D"/>
    <w:rsid w:val="00DB1A5B"/>
    <w:rsid w:val="00DB4F98"/>
    <w:rsid w:val="00DB713D"/>
    <w:rsid w:val="00DC191B"/>
    <w:rsid w:val="00DC2306"/>
    <w:rsid w:val="00DC3A4B"/>
    <w:rsid w:val="00DC3F32"/>
    <w:rsid w:val="00DC4179"/>
    <w:rsid w:val="00DC5DEA"/>
    <w:rsid w:val="00DC66B9"/>
    <w:rsid w:val="00DC7299"/>
    <w:rsid w:val="00DD0BA0"/>
    <w:rsid w:val="00DD153A"/>
    <w:rsid w:val="00DD24A6"/>
    <w:rsid w:val="00DD2A97"/>
    <w:rsid w:val="00DD4AD4"/>
    <w:rsid w:val="00DD57FC"/>
    <w:rsid w:val="00DD65E7"/>
    <w:rsid w:val="00DE196C"/>
    <w:rsid w:val="00DE3F4F"/>
    <w:rsid w:val="00DE71A3"/>
    <w:rsid w:val="00DE751F"/>
    <w:rsid w:val="00DF181E"/>
    <w:rsid w:val="00DF3A4A"/>
    <w:rsid w:val="00DF43AD"/>
    <w:rsid w:val="00DF48D7"/>
    <w:rsid w:val="00DF4C2D"/>
    <w:rsid w:val="00E00A42"/>
    <w:rsid w:val="00E0105A"/>
    <w:rsid w:val="00E037CB"/>
    <w:rsid w:val="00E053EE"/>
    <w:rsid w:val="00E056F2"/>
    <w:rsid w:val="00E070A8"/>
    <w:rsid w:val="00E072DB"/>
    <w:rsid w:val="00E10227"/>
    <w:rsid w:val="00E25A7F"/>
    <w:rsid w:val="00E2644F"/>
    <w:rsid w:val="00E27B1E"/>
    <w:rsid w:val="00E3006C"/>
    <w:rsid w:val="00E30DE3"/>
    <w:rsid w:val="00E320EF"/>
    <w:rsid w:val="00E32304"/>
    <w:rsid w:val="00E32FF6"/>
    <w:rsid w:val="00E34C0A"/>
    <w:rsid w:val="00E350E5"/>
    <w:rsid w:val="00E377A7"/>
    <w:rsid w:val="00E37F0A"/>
    <w:rsid w:val="00E423B5"/>
    <w:rsid w:val="00E43DA1"/>
    <w:rsid w:val="00E44989"/>
    <w:rsid w:val="00E52246"/>
    <w:rsid w:val="00E620E8"/>
    <w:rsid w:val="00E650AC"/>
    <w:rsid w:val="00E65B5B"/>
    <w:rsid w:val="00E703D8"/>
    <w:rsid w:val="00E71F44"/>
    <w:rsid w:val="00E72168"/>
    <w:rsid w:val="00E73A63"/>
    <w:rsid w:val="00E75625"/>
    <w:rsid w:val="00E76322"/>
    <w:rsid w:val="00E83A5C"/>
    <w:rsid w:val="00E841AE"/>
    <w:rsid w:val="00E91FEA"/>
    <w:rsid w:val="00E92E9A"/>
    <w:rsid w:val="00E9373E"/>
    <w:rsid w:val="00E93BAF"/>
    <w:rsid w:val="00E952DD"/>
    <w:rsid w:val="00E95D7D"/>
    <w:rsid w:val="00E9674A"/>
    <w:rsid w:val="00EA0A68"/>
    <w:rsid w:val="00EA1D04"/>
    <w:rsid w:val="00EA22D7"/>
    <w:rsid w:val="00EA27A3"/>
    <w:rsid w:val="00EA2F35"/>
    <w:rsid w:val="00EA7E8C"/>
    <w:rsid w:val="00EB29D0"/>
    <w:rsid w:val="00EB50AF"/>
    <w:rsid w:val="00EB69E5"/>
    <w:rsid w:val="00EC0A15"/>
    <w:rsid w:val="00EC0CE1"/>
    <w:rsid w:val="00EC28A6"/>
    <w:rsid w:val="00EC7133"/>
    <w:rsid w:val="00EC7323"/>
    <w:rsid w:val="00ED14E9"/>
    <w:rsid w:val="00ED2E78"/>
    <w:rsid w:val="00ED3AEE"/>
    <w:rsid w:val="00EE0269"/>
    <w:rsid w:val="00EE2C68"/>
    <w:rsid w:val="00EE37A8"/>
    <w:rsid w:val="00EF1232"/>
    <w:rsid w:val="00EF4904"/>
    <w:rsid w:val="00EF5208"/>
    <w:rsid w:val="00EF6FA7"/>
    <w:rsid w:val="00EF705F"/>
    <w:rsid w:val="00EF7A9F"/>
    <w:rsid w:val="00F015B9"/>
    <w:rsid w:val="00F0183A"/>
    <w:rsid w:val="00F156EE"/>
    <w:rsid w:val="00F164C6"/>
    <w:rsid w:val="00F20802"/>
    <w:rsid w:val="00F23070"/>
    <w:rsid w:val="00F2320A"/>
    <w:rsid w:val="00F24E07"/>
    <w:rsid w:val="00F30BCF"/>
    <w:rsid w:val="00F336EF"/>
    <w:rsid w:val="00F3384E"/>
    <w:rsid w:val="00F35B3A"/>
    <w:rsid w:val="00F36331"/>
    <w:rsid w:val="00F3724C"/>
    <w:rsid w:val="00F375FF"/>
    <w:rsid w:val="00F4214D"/>
    <w:rsid w:val="00F4329E"/>
    <w:rsid w:val="00F43E21"/>
    <w:rsid w:val="00F449AC"/>
    <w:rsid w:val="00F52310"/>
    <w:rsid w:val="00F52882"/>
    <w:rsid w:val="00F532FF"/>
    <w:rsid w:val="00F535A3"/>
    <w:rsid w:val="00F545E5"/>
    <w:rsid w:val="00F5656F"/>
    <w:rsid w:val="00F57371"/>
    <w:rsid w:val="00F60246"/>
    <w:rsid w:val="00F60AF8"/>
    <w:rsid w:val="00F61C1E"/>
    <w:rsid w:val="00F61F63"/>
    <w:rsid w:val="00F63617"/>
    <w:rsid w:val="00F63F30"/>
    <w:rsid w:val="00F6616B"/>
    <w:rsid w:val="00F666BE"/>
    <w:rsid w:val="00F715EA"/>
    <w:rsid w:val="00F80506"/>
    <w:rsid w:val="00F8075D"/>
    <w:rsid w:val="00F83921"/>
    <w:rsid w:val="00F860A2"/>
    <w:rsid w:val="00F8699D"/>
    <w:rsid w:val="00F87D69"/>
    <w:rsid w:val="00F90FF3"/>
    <w:rsid w:val="00F92C8C"/>
    <w:rsid w:val="00F9308D"/>
    <w:rsid w:val="00F95F9E"/>
    <w:rsid w:val="00FA20C3"/>
    <w:rsid w:val="00FA3B1B"/>
    <w:rsid w:val="00FA69C2"/>
    <w:rsid w:val="00FA6EE6"/>
    <w:rsid w:val="00FB04F5"/>
    <w:rsid w:val="00FB2DC4"/>
    <w:rsid w:val="00FB37B4"/>
    <w:rsid w:val="00FB5C28"/>
    <w:rsid w:val="00FB5F7B"/>
    <w:rsid w:val="00FC2AD6"/>
    <w:rsid w:val="00FC499A"/>
    <w:rsid w:val="00FC4EB5"/>
    <w:rsid w:val="00FD0E12"/>
    <w:rsid w:val="00FD3C2D"/>
    <w:rsid w:val="00FD408D"/>
    <w:rsid w:val="00FD5366"/>
    <w:rsid w:val="00FE0916"/>
    <w:rsid w:val="00FE3217"/>
    <w:rsid w:val="00FE6483"/>
    <w:rsid w:val="00FF0A8E"/>
    <w:rsid w:val="00FF2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3266216"/>
  <w15:docId w15:val="{DEAE1537-B7FF-4A8D-9534-AEEC736B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208"/>
    <w:rPr>
      <w:rFonts w:ascii="Arial" w:hAnsi="Arial" w:cs="Arial"/>
      <w:lang w:val="en-GB"/>
    </w:rPr>
  </w:style>
  <w:style w:type="paragraph" w:styleId="Heading1">
    <w:name w:val="heading 1"/>
    <w:basedOn w:val="Normal"/>
    <w:next w:val="Normal"/>
    <w:link w:val="Heading1Char"/>
    <w:uiPriority w:val="9"/>
    <w:qFormat/>
    <w:rsid w:val="00EA22D7"/>
    <w:pPr>
      <w:keepNext/>
      <w:keepLines/>
      <w:spacing w:after="0" w:line="240" w:lineRule="auto"/>
      <w:outlineLvl w:val="0"/>
    </w:pPr>
    <w:rPr>
      <w:rFonts w:eastAsiaTheme="majorEastAsia"/>
      <w:b/>
      <w:bCs/>
      <w:szCs w:val="32"/>
      <w:lang w:val="nl-NL"/>
    </w:rPr>
  </w:style>
  <w:style w:type="paragraph" w:styleId="Heading2">
    <w:name w:val="heading 2"/>
    <w:basedOn w:val="Normal"/>
    <w:next w:val="Normal"/>
    <w:link w:val="Heading2Char"/>
    <w:uiPriority w:val="9"/>
    <w:unhideWhenUsed/>
    <w:qFormat/>
    <w:rsid w:val="00EA22D7"/>
    <w:pPr>
      <w:keepNext/>
      <w:keepLines/>
      <w:spacing w:after="0" w:line="240" w:lineRule="auto"/>
      <w:outlineLvl w:val="1"/>
    </w:pPr>
    <w:rPr>
      <w:rFonts w:eastAsiaTheme="majorEastAsia"/>
      <w:b/>
      <w:bCs/>
      <w:szCs w:val="28"/>
    </w:rPr>
  </w:style>
  <w:style w:type="paragraph" w:styleId="Heading3">
    <w:name w:val="heading 3"/>
    <w:basedOn w:val="Normal"/>
    <w:next w:val="Normal"/>
    <w:link w:val="Heading3Char"/>
    <w:uiPriority w:val="9"/>
    <w:unhideWhenUsed/>
    <w:qFormat/>
    <w:rsid w:val="00204536"/>
    <w:pPr>
      <w:keepNext/>
      <w:keepLines/>
      <w:spacing w:before="200" w:after="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070"/>
    <w:pPr>
      <w:ind w:left="720"/>
      <w:contextualSpacing/>
    </w:pPr>
  </w:style>
  <w:style w:type="character" w:styleId="CommentReference">
    <w:name w:val="annotation reference"/>
    <w:basedOn w:val="DefaultParagraphFont"/>
    <w:uiPriority w:val="99"/>
    <w:semiHidden/>
    <w:unhideWhenUsed/>
    <w:rsid w:val="00CE4450"/>
    <w:rPr>
      <w:sz w:val="16"/>
      <w:szCs w:val="16"/>
    </w:rPr>
  </w:style>
  <w:style w:type="paragraph" w:styleId="CommentText">
    <w:name w:val="annotation text"/>
    <w:basedOn w:val="Normal"/>
    <w:link w:val="CommentTextChar"/>
    <w:uiPriority w:val="99"/>
    <w:unhideWhenUsed/>
    <w:rsid w:val="00CE4450"/>
    <w:pPr>
      <w:spacing w:line="240" w:lineRule="auto"/>
    </w:pPr>
    <w:rPr>
      <w:sz w:val="20"/>
      <w:szCs w:val="20"/>
    </w:rPr>
  </w:style>
  <w:style w:type="character" w:customStyle="1" w:styleId="CommentTextChar">
    <w:name w:val="Comment Text Char"/>
    <w:basedOn w:val="DefaultParagraphFont"/>
    <w:link w:val="CommentText"/>
    <w:uiPriority w:val="99"/>
    <w:rsid w:val="00CE4450"/>
    <w:rPr>
      <w:sz w:val="20"/>
      <w:szCs w:val="20"/>
    </w:rPr>
  </w:style>
  <w:style w:type="paragraph" w:styleId="CommentSubject">
    <w:name w:val="annotation subject"/>
    <w:basedOn w:val="CommentText"/>
    <w:next w:val="CommentText"/>
    <w:link w:val="CommentSubjectChar"/>
    <w:uiPriority w:val="99"/>
    <w:semiHidden/>
    <w:unhideWhenUsed/>
    <w:rsid w:val="00CE4450"/>
    <w:rPr>
      <w:b/>
      <w:bCs/>
    </w:rPr>
  </w:style>
  <w:style w:type="character" w:customStyle="1" w:styleId="CommentSubjectChar">
    <w:name w:val="Comment Subject Char"/>
    <w:basedOn w:val="CommentTextChar"/>
    <w:link w:val="CommentSubject"/>
    <w:uiPriority w:val="99"/>
    <w:semiHidden/>
    <w:rsid w:val="00CE4450"/>
    <w:rPr>
      <w:b/>
      <w:bCs/>
      <w:sz w:val="20"/>
      <w:szCs w:val="20"/>
    </w:rPr>
  </w:style>
  <w:style w:type="paragraph" w:styleId="BalloonText">
    <w:name w:val="Balloon Text"/>
    <w:basedOn w:val="Normal"/>
    <w:link w:val="BalloonTextChar"/>
    <w:uiPriority w:val="99"/>
    <w:semiHidden/>
    <w:unhideWhenUsed/>
    <w:rsid w:val="00CE4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450"/>
    <w:rPr>
      <w:rFonts w:ascii="Tahoma" w:hAnsi="Tahoma" w:cs="Tahoma"/>
      <w:sz w:val="16"/>
      <w:szCs w:val="16"/>
    </w:rPr>
  </w:style>
  <w:style w:type="character" w:customStyle="1" w:styleId="Heading1Char">
    <w:name w:val="Heading 1 Char"/>
    <w:basedOn w:val="DefaultParagraphFont"/>
    <w:link w:val="Heading1"/>
    <w:uiPriority w:val="9"/>
    <w:rsid w:val="00EA22D7"/>
    <w:rPr>
      <w:rFonts w:ascii="Arial" w:eastAsiaTheme="majorEastAsia" w:hAnsi="Arial" w:cs="Arial"/>
      <w:b/>
      <w:bCs/>
      <w:szCs w:val="32"/>
      <w:lang w:val="nl-NL"/>
    </w:rPr>
  </w:style>
  <w:style w:type="paragraph" w:styleId="Header">
    <w:name w:val="header"/>
    <w:basedOn w:val="Normal"/>
    <w:link w:val="HeaderChar"/>
    <w:uiPriority w:val="99"/>
    <w:unhideWhenUsed/>
    <w:rsid w:val="00637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397"/>
  </w:style>
  <w:style w:type="paragraph" w:styleId="Footer">
    <w:name w:val="footer"/>
    <w:basedOn w:val="Normal"/>
    <w:link w:val="FooterChar"/>
    <w:uiPriority w:val="99"/>
    <w:unhideWhenUsed/>
    <w:rsid w:val="00637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397"/>
  </w:style>
  <w:style w:type="character" w:customStyle="1" w:styleId="Heading2Char">
    <w:name w:val="Heading 2 Char"/>
    <w:basedOn w:val="DefaultParagraphFont"/>
    <w:link w:val="Heading2"/>
    <w:uiPriority w:val="9"/>
    <w:rsid w:val="00EA22D7"/>
    <w:rPr>
      <w:rFonts w:ascii="Arial" w:eastAsiaTheme="majorEastAsia" w:hAnsi="Arial" w:cs="Arial"/>
      <w:b/>
      <w:bCs/>
      <w:szCs w:val="28"/>
      <w:lang w:val="en-GB"/>
    </w:rPr>
  </w:style>
  <w:style w:type="character" w:customStyle="1" w:styleId="Heading3Char">
    <w:name w:val="Heading 3 Char"/>
    <w:basedOn w:val="DefaultParagraphFont"/>
    <w:link w:val="Heading3"/>
    <w:uiPriority w:val="9"/>
    <w:rsid w:val="00204536"/>
    <w:rPr>
      <w:rFonts w:ascii="Arial" w:eastAsiaTheme="majorEastAsia" w:hAnsi="Arial" w:cs="Arial"/>
      <w:b/>
      <w:bCs/>
      <w:lang w:val="en-GB"/>
    </w:rPr>
  </w:style>
  <w:style w:type="table" w:styleId="TableGrid">
    <w:name w:val="Table Grid"/>
    <w:basedOn w:val="TableNormal"/>
    <w:uiPriority w:val="59"/>
    <w:rsid w:val="000C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20C3"/>
    <w:pPr>
      <w:spacing w:after="0" w:line="240" w:lineRule="auto"/>
    </w:pPr>
    <w:rPr>
      <w:rFonts w:ascii="Arial" w:hAnsi="Arial" w:cs="Arial"/>
      <w:lang w:val="en-GB"/>
    </w:rPr>
  </w:style>
  <w:style w:type="character" w:styleId="Hyperlink">
    <w:name w:val="Hyperlink"/>
    <w:basedOn w:val="DefaultParagraphFont"/>
    <w:uiPriority w:val="99"/>
    <w:unhideWhenUsed/>
    <w:rsid w:val="006B4D6B"/>
    <w:rPr>
      <w:color w:val="0000FF" w:themeColor="hyperlink"/>
      <w:u w:val="single"/>
    </w:rPr>
  </w:style>
  <w:style w:type="paragraph" w:styleId="FootnoteText">
    <w:name w:val="footnote text"/>
    <w:basedOn w:val="Normal"/>
    <w:link w:val="FootnoteTextChar"/>
    <w:uiPriority w:val="99"/>
    <w:semiHidden/>
    <w:unhideWhenUsed/>
    <w:rsid w:val="00FE64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483"/>
    <w:rPr>
      <w:rFonts w:ascii="Arial" w:hAnsi="Arial" w:cs="Arial"/>
      <w:sz w:val="20"/>
      <w:szCs w:val="20"/>
      <w:lang w:val="en-GB"/>
    </w:rPr>
  </w:style>
  <w:style w:type="character" w:styleId="FootnoteReference">
    <w:name w:val="footnote reference"/>
    <w:aliases w:val="Fn Ref,Footnote Reference (Alt+R)"/>
    <w:basedOn w:val="DefaultParagraphFont"/>
    <w:uiPriority w:val="99"/>
    <w:semiHidden/>
    <w:unhideWhenUsed/>
    <w:qFormat/>
    <w:rsid w:val="00FE6483"/>
    <w:rPr>
      <w:vertAlign w:val="superscript"/>
    </w:rPr>
  </w:style>
  <w:style w:type="character" w:customStyle="1" w:styleId="UnresolvedMention1">
    <w:name w:val="Unresolved Mention1"/>
    <w:basedOn w:val="DefaultParagraphFont"/>
    <w:uiPriority w:val="99"/>
    <w:semiHidden/>
    <w:unhideWhenUsed/>
    <w:rsid w:val="00B07DEF"/>
    <w:rPr>
      <w:color w:val="808080"/>
      <w:shd w:val="clear" w:color="auto" w:fill="E6E6E6"/>
    </w:rPr>
  </w:style>
  <w:style w:type="character" w:styleId="Strong">
    <w:name w:val="Strong"/>
    <w:basedOn w:val="DefaultParagraphFont"/>
    <w:uiPriority w:val="22"/>
    <w:qFormat/>
    <w:rsid w:val="00865CB1"/>
    <w:rPr>
      <w:b/>
      <w:bCs/>
    </w:rPr>
  </w:style>
  <w:style w:type="character" w:styleId="FollowedHyperlink">
    <w:name w:val="FollowedHyperlink"/>
    <w:basedOn w:val="DefaultParagraphFont"/>
    <w:uiPriority w:val="99"/>
    <w:semiHidden/>
    <w:unhideWhenUsed/>
    <w:rsid w:val="000A0484"/>
    <w:rPr>
      <w:color w:val="800080" w:themeColor="followedHyperlink"/>
      <w:u w:val="single"/>
    </w:rPr>
  </w:style>
  <w:style w:type="character" w:styleId="IntenseEmphasis">
    <w:name w:val="Intense Emphasis"/>
    <w:basedOn w:val="DefaultParagraphFont"/>
    <w:uiPriority w:val="21"/>
    <w:qFormat/>
    <w:rsid w:val="00EA22D7"/>
    <w:rPr>
      <w:i/>
      <w:iCs/>
      <w:color w:val="4F81BD" w:themeColor="accent1"/>
    </w:rPr>
  </w:style>
  <w:style w:type="paragraph" w:styleId="IntenseQuote">
    <w:name w:val="Intense Quote"/>
    <w:basedOn w:val="Normal"/>
    <w:next w:val="Normal"/>
    <w:link w:val="IntenseQuoteChar"/>
    <w:uiPriority w:val="30"/>
    <w:qFormat/>
    <w:rsid w:val="00EA22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A22D7"/>
    <w:rPr>
      <w:rFonts w:ascii="Arial" w:hAnsi="Arial" w:cs="Arial"/>
      <w:i/>
      <w:iCs/>
      <w:color w:val="4F81BD" w:themeColor="accent1"/>
      <w:lang w:val="en-GB"/>
    </w:rPr>
  </w:style>
  <w:style w:type="character" w:customStyle="1" w:styleId="UnresolvedMention2">
    <w:name w:val="Unresolved Mention2"/>
    <w:basedOn w:val="DefaultParagraphFont"/>
    <w:uiPriority w:val="99"/>
    <w:semiHidden/>
    <w:unhideWhenUsed/>
    <w:rsid w:val="00EA22D7"/>
    <w:rPr>
      <w:color w:val="808080"/>
      <w:shd w:val="clear" w:color="auto" w:fill="E6E6E6"/>
    </w:rPr>
  </w:style>
  <w:style w:type="paragraph" w:customStyle="1" w:styleId="FootnoteRM">
    <w:name w:val="FootnoteRM"/>
    <w:basedOn w:val="FootnoteText"/>
    <w:link w:val="FootnoteRMChar"/>
    <w:qFormat/>
    <w:rsid w:val="00A84BB4"/>
    <w:pPr>
      <w:ind w:left="284" w:hanging="284"/>
    </w:pPr>
    <w:rPr>
      <w:lang w:val="en-US"/>
    </w:rPr>
  </w:style>
  <w:style w:type="paragraph" w:styleId="TOC1">
    <w:name w:val="toc 1"/>
    <w:basedOn w:val="Normal"/>
    <w:next w:val="Normal"/>
    <w:autoRedefine/>
    <w:uiPriority w:val="39"/>
    <w:unhideWhenUsed/>
    <w:rsid w:val="00D03A86"/>
    <w:pPr>
      <w:tabs>
        <w:tab w:val="right" w:leader="dot" w:pos="9060"/>
      </w:tabs>
      <w:spacing w:after="0" w:line="240" w:lineRule="auto"/>
    </w:pPr>
  </w:style>
  <w:style w:type="character" w:customStyle="1" w:styleId="FootnoteRMChar">
    <w:name w:val="FootnoteRM Char"/>
    <w:basedOn w:val="FootnoteTextChar"/>
    <w:link w:val="FootnoteRM"/>
    <w:rsid w:val="00A84BB4"/>
    <w:rPr>
      <w:rFonts w:ascii="Arial" w:hAnsi="Arial" w:cs="Arial"/>
      <w:sz w:val="20"/>
      <w:szCs w:val="20"/>
      <w:lang w:val="en-GB"/>
    </w:rPr>
  </w:style>
  <w:style w:type="paragraph" w:styleId="TOC2">
    <w:name w:val="toc 2"/>
    <w:basedOn w:val="Normal"/>
    <w:next w:val="Normal"/>
    <w:autoRedefine/>
    <w:uiPriority w:val="39"/>
    <w:unhideWhenUsed/>
    <w:rsid w:val="00F8075D"/>
    <w:pPr>
      <w:spacing w:after="100"/>
      <w:ind w:left="240"/>
    </w:pPr>
  </w:style>
  <w:style w:type="character" w:customStyle="1" w:styleId="gmail-msohyperlink">
    <w:name w:val="gmail-msohyperlink"/>
    <w:basedOn w:val="DefaultParagraphFont"/>
    <w:rsid w:val="00CC4254"/>
  </w:style>
  <w:style w:type="character" w:styleId="UnresolvedMention">
    <w:name w:val="Unresolved Mention"/>
    <w:basedOn w:val="DefaultParagraphFont"/>
    <w:uiPriority w:val="99"/>
    <w:semiHidden/>
    <w:unhideWhenUsed/>
    <w:rsid w:val="00D0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2975">
      <w:bodyDiv w:val="1"/>
      <w:marLeft w:val="0"/>
      <w:marRight w:val="0"/>
      <w:marTop w:val="0"/>
      <w:marBottom w:val="0"/>
      <w:divBdr>
        <w:top w:val="none" w:sz="0" w:space="0" w:color="auto"/>
        <w:left w:val="none" w:sz="0" w:space="0" w:color="auto"/>
        <w:bottom w:val="none" w:sz="0" w:space="0" w:color="auto"/>
        <w:right w:val="none" w:sz="0" w:space="0" w:color="auto"/>
      </w:divBdr>
      <w:divsChild>
        <w:div w:id="1112240451">
          <w:marLeft w:val="0"/>
          <w:marRight w:val="0"/>
          <w:marTop w:val="0"/>
          <w:marBottom w:val="0"/>
          <w:divBdr>
            <w:top w:val="none" w:sz="0" w:space="0" w:color="auto"/>
            <w:left w:val="none" w:sz="0" w:space="0" w:color="auto"/>
            <w:bottom w:val="none" w:sz="0" w:space="0" w:color="auto"/>
            <w:right w:val="none" w:sz="0" w:space="0" w:color="auto"/>
          </w:divBdr>
        </w:div>
        <w:div w:id="917061503">
          <w:marLeft w:val="0"/>
          <w:marRight w:val="0"/>
          <w:marTop w:val="0"/>
          <w:marBottom w:val="0"/>
          <w:divBdr>
            <w:top w:val="none" w:sz="0" w:space="0" w:color="auto"/>
            <w:left w:val="none" w:sz="0" w:space="0" w:color="auto"/>
            <w:bottom w:val="none" w:sz="0" w:space="0" w:color="auto"/>
            <w:right w:val="none" w:sz="0" w:space="0" w:color="auto"/>
          </w:divBdr>
        </w:div>
        <w:div w:id="2124763504">
          <w:marLeft w:val="0"/>
          <w:marRight w:val="0"/>
          <w:marTop w:val="0"/>
          <w:marBottom w:val="0"/>
          <w:divBdr>
            <w:top w:val="none" w:sz="0" w:space="0" w:color="auto"/>
            <w:left w:val="none" w:sz="0" w:space="0" w:color="auto"/>
            <w:bottom w:val="none" w:sz="0" w:space="0" w:color="auto"/>
            <w:right w:val="none" w:sz="0" w:space="0" w:color="auto"/>
          </w:divBdr>
        </w:div>
        <w:div w:id="1473719381">
          <w:marLeft w:val="0"/>
          <w:marRight w:val="0"/>
          <w:marTop w:val="0"/>
          <w:marBottom w:val="0"/>
          <w:divBdr>
            <w:top w:val="none" w:sz="0" w:space="0" w:color="auto"/>
            <w:left w:val="none" w:sz="0" w:space="0" w:color="auto"/>
            <w:bottom w:val="none" w:sz="0" w:space="0" w:color="auto"/>
            <w:right w:val="none" w:sz="0" w:space="0" w:color="auto"/>
          </w:divBdr>
        </w:div>
        <w:div w:id="1218931064">
          <w:marLeft w:val="0"/>
          <w:marRight w:val="0"/>
          <w:marTop w:val="0"/>
          <w:marBottom w:val="0"/>
          <w:divBdr>
            <w:top w:val="none" w:sz="0" w:space="0" w:color="auto"/>
            <w:left w:val="none" w:sz="0" w:space="0" w:color="auto"/>
            <w:bottom w:val="none" w:sz="0" w:space="0" w:color="auto"/>
            <w:right w:val="none" w:sz="0" w:space="0" w:color="auto"/>
          </w:divBdr>
        </w:div>
        <w:div w:id="1407915627">
          <w:marLeft w:val="0"/>
          <w:marRight w:val="0"/>
          <w:marTop w:val="0"/>
          <w:marBottom w:val="0"/>
          <w:divBdr>
            <w:top w:val="none" w:sz="0" w:space="0" w:color="auto"/>
            <w:left w:val="none" w:sz="0" w:space="0" w:color="auto"/>
            <w:bottom w:val="none" w:sz="0" w:space="0" w:color="auto"/>
            <w:right w:val="none" w:sz="0" w:space="0" w:color="auto"/>
          </w:divBdr>
        </w:div>
        <w:div w:id="69354686">
          <w:marLeft w:val="0"/>
          <w:marRight w:val="0"/>
          <w:marTop w:val="0"/>
          <w:marBottom w:val="0"/>
          <w:divBdr>
            <w:top w:val="none" w:sz="0" w:space="0" w:color="auto"/>
            <w:left w:val="none" w:sz="0" w:space="0" w:color="auto"/>
            <w:bottom w:val="none" w:sz="0" w:space="0" w:color="auto"/>
            <w:right w:val="none" w:sz="0" w:space="0" w:color="auto"/>
          </w:divBdr>
        </w:div>
        <w:div w:id="1037464185">
          <w:marLeft w:val="0"/>
          <w:marRight w:val="0"/>
          <w:marTop w:val="0"/>
          <w:marBottom w:val="0"/>
          <w:divBdr>
            <w:top w:val="none" w:sz="0" w:space="0" w:color="auto"/>
            <w:left w:val="none" w:sz="0" w:space="0" w:color="auto"/>
            <w:bottom w:val="none" w:sz="0" w:space="0" w:color="auto"/>
            <w:right w:val="none" w:sz="0" w:space="0" w:color="auto"/>
          </w:divBdr>
        </w:div>
        <w:div w:id="594096234">
          <w:marLeft w:val="0"/>
          <w:marRight w:val="0"/>
          <w:marTop w:val="0"/>
          <w:marBottom w:val="0"/>
          <w:divBdr>
            <w:top w:val="none" w:sz="0" w:space="0" w:color="auto"/>
            <w:left w:val="none" w:sz="0" w:space="0" w:color="auto"/>
            <w:bottom w:val="none" w:sz="0" w:space="0" w:color="auto"/>
            <w:right w:val="none" w:sz="0" w:space="0" w:color="auto"/>
          </w:divBdr>
        </w:div>
        <w:div w:id="1976566276">
          <w:marLeft w:val="0"/>
          <w:marRight w:val="0"/>
          <w:marTop w:val="0"/>
          <w:marBottom w:val="0"/>
          <w:divBdr>
            <w:top w:val="none" w:sz="0" w:space="0" w:color="auto"/>
            <w:left w:val="none" w:sz="0" w:space="0" w:color="auto"/>
            <w:bottom w:val="none" w:sz="0" w:space="0" w:color="auto"/>
            <w:right w:val="none" w:sz="0" w:space="0" w:color="auto"/>
          </w:divBdr>
        </w:div>
        <w:div w:id="1584997711">
          <w:marLeft w:val="0"/>
          <w:marRight w:val="0"/>
          <w:marTop w:val="0"/>
          <w:marBottom w:val="0"/>
          <w:divBdr>
            <w:top w:val="none" w:sz="0" w:space="0" w:color="auto"/>
            <w:left w:val="none" w:sz="0" w:space="0" w:color="auto"/>
            <w:bottom w:val="none" w:sz="0" w:space="0" w:color="auto"/>
            <w:right w:val="none" w:sz="0" w:space="0" w:color="auto"/>
          </w:divBdr>
        </w:div>
        <w:div w:id="1247885898">
          <w:marLeft w:val="0"/>
          <w:marRight w:val="0"/>
          <w:marTop w:val="0"/>
          <w:marBottom w:val="0"/>
          <w:divBdr>
            <w:top w:val="none" w:sz="0" w:space="0" w:color="auto"/>
            <w:left w:val="none" w:sz="0" w:space="0" w:color="auto"/>
            <w:bottom w:val="none" w:sz="0" w:space="0" w:color="auto"/>
            <w:right w:val="none" w:sz="0" w:space="0" w:color="auto"/>
          </w:divBdr>
        </w:div>
        <w:div w:id="1386221366">
          <w:marLeft w:val="0"/>
          <w:marRight w:val="0"/>
          <w:marTop w:val="0"/>
          <w:marBottom w:val="0"/>
          <w:divBdr>
            <w:top w:val="none" w:sz="0" w:space="0" w:color="auto"/>
            <w:left w:val="none" w:sz="0" w:space="0" w:color="auto"/>
            <w:bottom w:val="none" w:sz="0" w:space="0" w:color="auto"/>
            <w:right w:val="none" w:sz="0" w:space="0" w:color="auto"/>
          </w:divBdr>
        </w:div>
        <w:div w:id="219022924">
          <w:marLeft w:val="0"/>
          <w:marRight w:val="0"/>
          <w:marTop w:val="0"/>
          <w:marBottom w:val="0"/>
          <w:divBdr>
            <w:top w:val="none" w:sz="0" w:space="0" w:color="auto"/>
            <w:left w:val="none" w:sz="0" w:space="0" w:color="auto"/>
            <w:bottom w:val="none" w:sz="0" w:space="0" w:color="auto"/>
            <w:right w:val="none" w:sz="0" w:space="0" w:color="auto"/>
          </w:divBdr>
        </w:div>
        <w:div w:id="171646739">
          <w:marLeft w:val="0"/>
          <w:marRight w:val="0"/>
          <w:marTop w:val="0"/>
          <w:marBottom w:val="0"/>
          <w:divBdr>
            <w:top w:val="none" w:sz="0" w:space="0" w:color="auto"/>
            <w:left w:val="none" w:sz="0" w:space="0" w:color="auto"/>
            <w:bottom w:val="none" w:sz="0" w:space="0" w:color="auto"/>
            <w:right w:val="none" w:sz="0" w:space="0" w:color="auto"/>
          </w:divBdr>
        </w:div>
        <w:div w:id="879585759">
          <w:marLeft w:val="0"/>
          <w:marRight w:val="0"/>
          <w:marTop w:val="0"/>
          <w:marBottom w:val="0"/>
          <w:divBdr>
            <w:top w:val="none" w:sz="0" w:space="0" w:color="auto"/>
            <w:left w:val="none" w:sz="0" w:space="0" w:color="auto"/>
            <w:bottom w:val="none" w:sz="0" w:space="0" w:color="auto"/>
            <w:right w:val="none" w:sz="0" w:space="0" w:color="auto"/>
          </w:divBdr>
        </w:div>
        <w:div w:id="723722281">
          <w:marLeft w:val="0"/>
          <w:marRight w:val="0"/>
          <w:marTop w:val="0"/>
          <w:marBottom w:val="0"/>
          <w:divBdr>
            <w:top w:val="none" w:sz="0" w:space="0" w:color="auto"/>
            <w:left w:val="none" w:sz="0" w:space="0" w:color="auto"/>
            <w:bottom w:val="none" w:sz="0" w:space="0" w:color="auto"/>
            <w:right w:val="none" w:sz="0" w:space="0" w:color="auto"/>
          </w:divBdr>
        </w:div>
        <w:div w:id="1237402554">
          <w:marLeft w:val="0"/>
          <w:marRight w:val="0"/>
          <w:marTop w:val="0"/>
          <w:marBottom w:val="0"/>
          <w:divBdr>
            <w:top w:val="none" w:sz="0" w:space="0" w:color="auto"/>
            <w:left w:val="none" w:sz="0" w:space="0" w:color="auto"/>
            <w:bottom w:val="none" w:sz="0" w:space="0" w:color="auto"/>
            <w:right w:val="none" w:sz="0" w:space="0" w:color="auto"/>
          </w:divBdr>
        </w:div>
        <w:div w:id="1123188226">
          <w:marLeft w:val="0"/>
          <w:marRight w:val="0"/>
          <w:marTop w:val="0"/>
          <w:marBottom w:val="0"/>
          <w:divBdr>
            <w:top w:val="none" w:sz="0" w:space="0" w:color="auto"/>
            <w:left w:val="none" w:sz="0" w:space="0" w:color="auto"/>
            <w:bottom w:val="none" w:sz="0" w:space="0" w:color="auto"/>
            <w:right w:val="none" w:sz="0" w:space="0" w:color="auto"/>
          </w:divBdr>
        </w:div>
        <w:div w:id="1016157412">
          <w:marLeft w:val="0"/>
          <w:marRight w:val="0"/>
          <w:marTop w:val="0"/>
          <w:marBottom w:val="0"/>
          <w:divBdr>
            <w:top w:val="none" w:sz="0" w:space="0" w:color="auto"/>
            <w:left w:val="none" w:sz="0" w:space="0" w:color="auto"/>
            <w:bottom w:val="none" w:sz="0" w:space="0" w:color="auto"/>
            <w:right w:val="none" w:sz="0" w:space="0" w:color="auto"/>
          </w:divBdr>
        </w:div>
        <w:div w:id="1444230999">
          <w:marLeft w:val="0"/>
          <w:marRight w:val="0"/>
          <w:marTop w:val="0"/>
          <w:marBottom w:val="0"/>
          <w:divBdr>
            <w:top w:val="none" w:sz="0" w:space="0" w:color="auto"/>
            <w:left w:val="none" w:sz="0" w:space="0" w:color="auto"/>
            <w:bottom w:val="none" w:sz="0" w:space="0" w:color="auto"/>
            <w:right w:val="none" w:sz="0" w:space="0" w:color="auto"/>
          </w:divBdr>
        </w:div>
        <w:div w:id="646475901">
          <w:marLeft w:val="0"/>
          <w:marRight w:val="0"/>
          <w:marTop w:val="0"/>
          <w:marBottom w:val="0"/>
          <w:divBdr>
            <w:top w:val="none" w:sz="0" w:space="0" w:color="auto"/>
            <w:left w:val="none" w:sz="0" w:space="0" w:color="auto"/>
            <w:bottom w:val="none" w:sz="0" w:space="0" w:color="auto"/>
            <w:right w:val="none" w:sz="0" w:space="0" w:color="auto"/>
          </w:divBdr>
        </w:div>
      </w:divsChild>
    </w:div>
    <w:div w:id="209659663">
      <w:bodyDiv w:val="1"/>
      <w:marLeft w:val="0"/>
      <w:marRight w:val="0"/>
      <w:marTop w:val="0"/>
      <w:marBottom w:val="0"/>
      <w:divBdr>
        <w:top w:val="none" w:sz="0" w:space="0" w:color="auto"/>
        <w:left w:val="none" w:sz="0" w:space="0" w:color="auto"/>
        <w:bottom w:val="none" w:sz="0" w:space="0" w:color="auto"/>
        <w:right w:val="none" w:sz="0" w:space="0" w:color="auto"/>
      </w:divBdr>
      <w:divsChild>
        <w:div w:id="685983716">
          <w:marLeft w:val="0"/>
          <w:marRight w:val="0"/>
          <w:marTop w:val="0"/>
          <w:marBottom w:val="0"/>
          <w:divBdr>
            <w:top w:val="none" w:sz="0" w:space="0" w:color="auto"/>
            <w:left w:val="none" w:sz="0" w:space="0" w:color="auto"/>
            <w:bottom w:val="none" w:sz="0" w:space="0" w:color="auto"/>
            <w:right w:val="none" w:sz="0" w:space="0" w:color="auto"/>
          </w:divBdr>
        </w:div>
        <w:div w:id="198396074">
          <w:marLeft w:val="0"/>
          <w:marRight w:val="0"/>
          <w:marTop w:val="0"/>
          <w:marBottom w:val="0"/>
          <w:divBdr>
            <w:top w:val="none" w:sz="0" w:space="0" w:color="auto"/>
            <w:left w:val="none" w:sz="0" w:space="0" w:color="auto"/>
            <w:bottom w:val="none" w:sz="0" w:space="0" w:color="auto"/>
            <w:right w:val="none" w:sz="0" w:space="0" w:color="auto"/>
          </w:divBdr>
        </w:div>
        <w:div w:id="1073359786">
          <w:marLeft w:val="0"/>
          <w:marRight w:val="0"/>
          <w:marTop w:val="0"/>
          <w:marBottom w:val="0"/>
          <w:divBdr>
            <w:top w:val="none" w:sz="0" w:space="0" w:color="auto"/>
            <w:left w:val="none" w:sz="0" w:space="0" w:color="auto"/>
            <w:bottom w:val="none" w:sz="0" w:space="0" w:color="auto"/>
            <w:right w:val="none" w:sz="0" w:space="0" w:color="auto"/>
          </w:divBdr>
        </w:div>
        <w:div w:id="782647806">
          <w:marLeft w:val="0"/>
          <w:marRight w:val="0"/>
          <w:marTop w:val="0"/>
          <w:marBottom w:val="0"/>
          <w:divBdr>
            <w:top w:val="none" w:sz="0" w:space="0" w:color="auto"/>
            <w:left w:val="none" w:sz="0" w:space="0" w:color="auto"/>
            <w:bottom w:val="none" w:sz="0" w:space="0" w:color="auto"/>
            <w:right w:val="none" w:sz="0" w:space="0" w:color="auto"/>
          </w:divBdr>
        </w:div>
        <w:div w:id="1312562478">
          <w:marLeft w:val="0"/>
          <w:marRight w:val="0"/>
          <w:marTop w:val="0"/>
          <w:marBottom w:val="0"/>
          <w:divBdr>
            <w:top w:val="none" w:sz="0" w:space="0" w:color="auto"/>
            <w:left w:val="none" w:sz="0" w:space="0" w:color="auto"/>
            <w:bottom w:val="none" w:sz="0" w:space="0" w:color="auto"/>
            <w:right w:val="none" w:sz="0" w:space="0" w:color="auto"/>
          </w:divBdr>
        </w:div>
      </w:divsChild>
    </w:div>
    <w:div w:id="237594465">
      <w:bodyDiv w:val="1"/>
      <w:marLeft w:val="0"/>
      <w:marRight w:val="0"/>
      <w:marTop w:val="0"/>
      <w:marBottom w:val="0"/>
      <w:divBdr>
        <w:top w:val="none" w:sz="0" w:space="0" w:color="auto"/>
        <w:left w:val="none" w:sz="0" w:space="0" w:color="auto"/>
        <w:bottom w:val="none" w:sz="0" w:space="0" w:color="auto"/>
        <w:right w:val="none" w:sz="0" w:space="0" w:color="auto"/>
      </w:divBdr>
    </w:div>
    <w:div w:id="910502656">
      <w:bodyDiv w:val="1"/>
      <w:marLeft w:val="0"/>
      <w:marRight w:val="0"/>
      <w:marTop w:val="0"/>
      <w:marBottom w:val="0"/>
      <w:divBdr>
        <w:top w:val="none" w:sz="0" w:space="0" w:color="auto"/>
        <w:left w:val="none" w:sz="0" w:space="0" w:color="auto"/>
        <w:bottom w:val="none" w:sz="0" w:space="0" w:color="auto"/>
        <w:right w:val="none" w:sz="0" w:space="0" w:color="auto"/>
      </w:divBdr>
    </w:div>
    <w:div w:id="1290430295">
      <w:bodyDiv w:val="1"/>
      <w:marLeft w:val="0"/>
      <w:marRight w:val="0"/>
      <w:marTop w:val="0"/>
      <w:marBottom w:val="0"/>
      <w:divBdr>
        <w:top w:val="none" w:sz="0" w:space="0" w:color="auto"/>
        <w:left w:val="none" w:sz="0" w:space="0" w:color="auto"/>
        <w:bottom w:val="none" w:sz="0" w:space="0" w:color="auto"/>
        <w:right w:val="none" w:sz="0" w:space="0" w:color="auto"/>
      </w:divBdr>
    </w:div>
    <w:div w:id="1570651233">
      <w:bodyDiv w:val="1"/>
      <w:marLeft w:val="0"/>
      <w:marRight w:val="0"/>
      <w:marTop w:val="0"/>
      <w:marBottom w:val="0"/>
      <w:divBdr>
        <w:top w:val="none" w:sz="0" w:space="0" w:color="auto"/>
        <w:left w:val="none" w:sz="0" w:space="0" w:color="auto"/>
        <w:bottom w:val="none" w:sz="0" w:space="0" w:color="auto"/>
        <w:right w:val="none" w:sz="0" w:space="0" w:color="auto"/>
      </w:divBdr>
    </w:div>
    <w:div w:id="2012827348">
      <w:bodyDiv w:val="1"/>
      <w:marLeft w:val="0"/>
      <w:marRight w:val="0"/>
      <w:marTop w:val="0"/>
      <w:marBottom w:val="0"/>
      <w:divBdr>
        <w:top w:val="none" w:sz="0" w:space="0" w:color="auto"/>
        <w:left w:val="none" w:sz="0" w:space="0" w:color="auto"/>
        <w:bottom w:val="none" w:sz="0" w:space="0" w:color="auto"/>
        <w:right w:val="none" w:sz="0" w:space="0" w:color="auto"/>
      </w:divBdr>
      <w:divsChild>
        <w:div w:id="298339241">
          <w:marLeft w:val="0"/>
          <w:marRight w:val="0"/>
          <w:marTop w:val="0"/>
          <w:marBottom w:val="0"/>
          <w:divBdr>
            <w:top w:val="none" w:sz="0" w:space="0" w:color="auto"/>
            <w:left w:val="none" w:sz="0" w:space="0" w:color="auto"/>
            <w:bottom w:val="none" w:sz="0" w:space="0" w:color="auto"/>
            <w:right w:val="none" w:sz="0" w:space="0" w:color="auto"/>
          </w:divBdr>
        </w:div>
        <w:div w:id="829105512">
          <w:marLeft w:val="0"/>
          <w:marRight w:val="0"/>
          <w:marTop w:val="0"/>
          <w:marBottom w:val="0"/>
          <w:divBdr>
            <w:top w:val="none" w:sz="0" w:space="0" w:color="auto"/>
            <w:left w:val="none" w:sz="0" w:space="0" w:color="auto"/>
            <w:bottom w:val="none" w:sz="0" w:space="0" w:color="auto"/>
            <w:right w:val="none" w:sz="0" w:space="0" w:color="auto"/>
          </w:divBdr>
        </w:div>
        <w:div w:id="351541674">
          <w:marLeft w:val="0"/>
          <w:marRight w:val="0"/>
          <w:marTop w:val="0"/>
          <w:marBottom w:val="0"/>
          <w:divBdr>
            <w:top w:val="none" w:sz="0" w:space="0" w:color="auto"/>
            <w:left w:val="none" w:sz="0" w:space="0" w:color="auto"/>
            <w:bottom w:val="none" w:sz="0" w:space="0" w:color="auto"/>
            <w:right w:val="none" w:sz="0" w:space="0" w:color="auto"/>
          </w:divBdr>
        </w:div>
        <w:div w:id="592670877">
          <w:marLeft w:val="0"/>
          <w:marRight w:val="0"/>
          <w:marTop w:val="0"/>
          <w:marBottom w:val="0"/>
          <w:divBdr>
            <w:top w:val="none" w:sz="0" w:space="0" w:color="auto"/>
            <w:left w:val="none" w:sz="0" w:space="0" w:color="auto"/>
            <w:bottom w:val="none" w:sz="0" w:space="0" w:color="auto"/>
            <w:right w:val="none" w:sz="0" w:space="0" w:color="auto"/>
          </w:divBdr>
        </w:div>
        <w:div w:id="1330210653">
          <w:marLeft w:val="0"/>
          <w:marRight w:val="0"/>
          <w:marTop w:val="0"/>
          <w:marBottom w:val="0"/>
          <w:divBdr>
            <w:top w:val="none" w:sz="0" w:space="0" w:color="auto"/>
            <w:left w:val="none" w:sz="0" w:space="0" w:color="auto"/>
            <w:bottom w:val="none" w:sz="0" w:space="0" w:color="auto"/>
            <w:right w:val="none" w:sz="0" w:space="0" w:color="auto"/>
          </w:divBdr>
        </w:div>
        <w:div w:id="33124039">
          <w:marLeft w:val="0"/>
          <w:marRight w:val="0"/>
          <w:marTop w:val="0"/>
          <w:marBottom w:val="0"/>
          <w:divBdr>
            <w:top w:val="none" w:sz="0" w:space="0" w:color="auto"/>
            <w:left w:val="none" w:sz="0" w:space="0" w:color="auto"/>
            <w:bottom w:val="none" w:sz="0" w:space="0" w:color="auto"/>
            <w:right w:val="none" w:sz="0" w:space="0" w:color="auto"/>
          </w:divBdr>
        </w:div>
        <w:div w:id="1890996688">
          <w:marLeft w:val="0"/>
          <w:marRight w:val="0"/>
          <w:marTop w:val="0"/>
          <w:marBottom w:val="0"/>
          <w:divBdr>
            <w:top w:val="none" w:sz="0" w:space="0" w:color="auto"/>
            <w:left w:val="none" w:sz="0" w:space="0" w:color="auto"/>
            <w:bottom w:val="none" w:sz="0" w:space="0" w:color="auto"/>
            <w:right w:val="none" w:sz="0" w:space="0" w:color="auto"/>
          </w:divBdr>
        </w:div>
        <w:div w:id="1067727586">
          <w:marLeft w:val="0"/>
          <w:marRight w:val="0"/>
          <w:marTop w:val="0"/>
          <w:marBottom w:val="0"/>
          <w:divBdr>
            <w:top w:val="none" w:sz="0" w:space="0" w:color="auto"/>
            <w:left w:val="none" w:sz="0" w:space="0" w:color="auto"/>
            <w:bottom w:val="none" w:sz="0" w:space="0" w:color="auto"/>
            <w:right w:val="none" w:sz="0" w:space="0" w:color="auto"/>
          </w:divBdr>
        </w:div>
        <w:div w:id="455635807">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0"/>
          <w:divBdr>
            <w:top w:val="none" w:sz="0" w:space="0" w:color="auto"/>
            <w:left w:val="none" w:sz="0" w:space="0" w:color="auto"/>
            <w:bottom w:val="none" w:sz="0" w:space="0" w:color="auto"/>
            <w:right w:val="none" w:sz="0" w:space="0" w:color="auto"/>
          </w:divBdr>
        </w:div>
        <w:div w:id="2076123305">
          <w:marLeft w:val="0"/>
          <w:marRight w:val="0"/>
          <w:marTop w:val="0"/>
          <w:marBottom w:val="0"/>
          <w:divBdr>
            <w:top w:val="none" w:sz="0" w:space="0" w:color="auto"/>
            <w:left w:val="none" w:sz="0" w:space="0" w:color="auto"/>
            <w:bottom w:val="none" w:sz="0" w:space="0" w:color="auto"/>
            <w:right w:val="none" w:sz="0" w:space="0" w:color="auto"/>
          </w:divBdr>
        </w:div>
        <w:div w:id="1913078114">
          <w:marLeft w:val="0"/>
          <w:marRight w:val="0"/>
          <w:marTop w:val="0"/>
          <w:marBottom w:val="0"/>
          <w:divBdr>
            <w:top w:val="none" w:sz="0" w:space="0" w:color="auto"/>
            <w:left w:val="none" w:sz="0" w:space="0" w:color="auto"/>
            <w:bottom w:val="none" w:sz="0" w:space="0" w:color="auto"/>
            <w:right w:val="none" w:sz="0" w:space="0" w:color="auto"/>
          </w:divBdr>
        </w:div>
        <w:div w:id="1950502142">
          <w:marLeft w:val="0"/>
          <w:marRight w:val="0"/>
          <w:marTop w:val="0"/>
          <w:marBottom w:val="0"/>
          <w:divBdr>
            <w:top w:val="none" w:sz="0" w:space="0" w:color="auto"/>
            <w:left w:val="none" w:sz="0" w:space="0" w:color="auto"/>
            <w:bottom w:val="none" w:sz="0" w:space="0" w:color="auto"/>
            <w:right w:val="none" w:sz="0" w:space="0" w:color="auto"/>
          </w:divBdr>
        </w:div>
        <w:div w:id="1156649502">
          <w:marLeft w:val="0"/>
          <w:marRight w:val="0"/>
          <w:marTop w:val="0"/>
          <w:marBottom w:val="0"/>
          <w:divBdr>
            <w:top w:val="none" w:sz="0" w:space="0" w:color="auto"/>
            <w:left w:val="none" w:sz="0" w:space="0" w:color="auto"/>
            <w:bottom w:val="none" w:sz="0" w:space="0" w:color="auto"/>
            <w:right w:val="none" w:sz="0" w:space="0" w:color="auto"/>
          </w:divBdr>
        </w:div>
        <w:div w:id="141195626">
          <w:marLeft w:val="0"/>
          <w:marRight w:val="0"/>
          <w:marTop w:val="0"/>
          <w:marBottom w:val="0"/>
          <w:divBdr>
            <w:top w:val="none" w:sz="0" w:space="0" w:color="auto"/>
            <w:left w:val="none" w:sz="0" w:space="0" w:color="auto"/>
            <w:bottom w:val="none" w:sz="0" w:space="0" w:color="auto"/>
            <w:right w:val="none" w:sz="0" w:space="0" w:color="auto"/>
          </w:divBdr>
        </w:div>
        <w:div w:id="103038061">
          <w:marLeft w:val="0"/>
          <w:marRight w:val="0"/>
          <w:marTop w:val="0"/>
          <w:marBottom w:val="0"/>
          <w:divBdr>
            <w:top w:val="none" w:sz="0" w:space="0" w:color="auto"/>
            <w:left w:val="none" w:sz="0" w:space="0" w:color="auto"/>
            <w:bottom w:val="none" w:sz="0" w:space="0" w:color="auto"/>
            <w:right w:val="none" w:sz="0" w:space="0" w:color="auto"/>
          </w:divBdr>
        </w:div>
        <w:div w:id="731389325">
          <w:marLeft w:val="0"/>
          <w:marRight w:val="0"/>
          <w:marTop w:val="0"/>
          <w:marBottom w:val="0"/>
          <w:divBdr>
            <w:top w:val="none" w:sz="0" w:space="0" w:color="auto"/>
            <w:left w:val="none" w:sz="0" w:space="0" w:color="auto"/>
            <w:bottom w:val="none" w:sz="0" w:space="0" w:color="auto"/>
            <w:right w:val="none" w:sz="0" w:space="0" w:color="auto"/>
          </w:divBdr>
        </w:div>
        <w:div w:id="1265771613">
          <w:marLeft w:val="0"/>
          <w:marRight w:val="0"/>
          <w:marTop w:val="0"/>
          <w:marBottom w:val="0"/>
          <w:divBdr>
            <w:top w:val="none" w:sz="0" w:space="0" w:color="auto"/>
            <w:left w:val="none" w:sz="0" w:space="0" w:color="auto"/>
            <w:bottom w:val="none" w:sz="0" w:space="0" w:color="auto"/>
            <w:right w:val="none" w:sz="0" w:space="0" w:color="auto"/>
          </w:divBdr>
        </w:div>
        <w:div w:id="540022677">
          <w:marLeft w:val="0"/>
          <w:marRight w:val="0"/>
          <w:marTop w:val="0"/>
          <w:marBottom w:val="0"/>
          <w:divBdr>
            <w:top w:val="none" w:sz="0" w:space="0" w:color="auto"/>
            <w:left w:val="none" w:sz="0" w:space="0" w:color="auto"/>
            <w:bottom w:val="none" w:sz="0" w:space="0" w:color="auto"/>
            <w:right w:val="none" w:sz="0" w:space="0" w:color="auto"/>
          </w:divBdr>
        </w:div>
        <w:div w:id="1311862601">
          <w:marLeft w:val="0"/>
          <w:marRight w:val="0"/>
          <w:marTop w:val="0"/>
          <w:marBottom w:val="0"/>
          <w:divBdr>
            <w:top w:val="none" w:sz="0" w:space="0" w:color="auto"/>
            <w:left w:val="none" w:sz="0" w:space="0" w:color="auto"/>
            <w:bottom w:val="none" w:sz="0" w:space="0" w:color="auto"/>
            <w:right w:val="none" w:sz="0" w:space="0" w:color="auto"/>
          </w:divBdr>
        </w:div>
        <w:div w:id="2012223042">
          <w:marLeft w:val="0"/>
          <w:marRight w:val="0"/>
          <w:marTop w:val="0"/>
          <w:marBottom w:val="0"/>
          <w:divBdr>
            <w:top w:val="none" w:sz="0" w:space="0" w:color="auto"/>
            <w:left w:val="none" w:sz="0" w:space="0" w:color="auto"/>
            <w:bottom w:val="none" w:sz="0" w:space="0" w:color="auto"/>
            <w:right w:val="none" w:sz="0" w:space="0" w:color="auto"/>
          </w:divBdr>
        </w:div>
        <w:div w:id="1994337125">
          <w:marLeft w:val="0"/>
          <w:marRight w:val="0"/>
          <w:marTop w:val="0"/>
          <w:marBottom w:val="0"/>
          <w:divBdr>
            <w:top w:val="none" w:sz="0" w:space="0" w:color="auto"/>
            <w:left w:val="none" w:sz="0" w:space="0" w:color="auto"/>
            <w:bottom w:val="none" w:sz="0" w:space="0" w:color="auto"/>
            <w:right w:val="none" w:sz="0" w:space="0" w:color="auto"/>
          </w:divBdr>
        </w:div>
        <w:div w:id="1602373587">
          <w:marLeft w:val="0"/>
          <w:marRight w:val="0"/>
          <w:marTop w:val="0"/>
          <w:marBottom w:val="0"/>
          <w:divBdr>
            <w:top w:val="none" w:sz="0" w:space="0" w:color="auto"/>
            <w:left w:val="none" w:sz="0" w:space="0" w:color="auto"/>
            <w:bottom w:val="none" w:sz="0" w:space="0" w:color="auto"/>
            <w:right w:val="none" w:sz="0" w:space="0" w:color="auto"/>
          </w:divBdr>
        </w:div>
        <w:div w:id="40969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a.gr/gr/infopages/kepa/FEK_1506_B_4-5-201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ssoc.org/INFORMATIONBASE/COMPARATIVETABLES/MISSOCDATABASE/comparativeTableSearch.j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gov.gr/ypepth/wp-content/uploads/downloads/2018/03/ypept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peka.gr/atoma-me-anapiria/nomothetiko-plaisio/" TargetMode="External"/><Relationship Id="rId4" Type="http://schemas.openxmlformats.org/officeDocument/2006/relationships/settings" Target="settings.xml"/><Relationship Id="rId9" Type="http://schemas.openxmlformats.org/officeDocument/2006/relationships/hyperlink" Target="https://opeka.gr/atoma-me-anapiria/plirofori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samea.gr/legal-framework/laws/2620-n-4331-2015-metra-gia-tin-anakoyfisi-ton-atomon-me-anapiria-amea-tin-aplopoiisi-tis-leitoyrgias-ton-kentron-pistopoiisis-anapirias-ke-p-a-katapolemisi-tis-eisforodiafygis-kai-synafi-asfalistika-zitimata-kai-alles-diataxeis" TargetMode="External"/><Relationship Id="rId13" Type="http://schemas.openxmlformats.org/officeDocument/2006/relationships/hyperlink" Target="https://research.agre.org/program/aboutados.cfm" TargetMode="External"/><Relationship Id="rId18" Type="http://schemas.openxmlformats.org/officeDocument/2006/relationships/hyperlink" Target="https://opeka.gr/atoma-me-anapiria/plirofories/" TargetMode="External"/><Relationship Id="rId26" Type="http://schemas.openxmlformats.org/officeDocument/2006/relationships/hyperlink" Target="https://www.hellenicparliament.gr/UserFiles/bcc26661-143b-4f2d-8916-0e0e66ba4c50/e-anadec-pap_apospasma.pdf" TargetMode="External"/><Relationship Id="rId3" Type="http://schemas.openxmlformats.org/officeDocument/2006/relationships/hyperlink" Target="https://www.ika.gr/gr/infopages/kepa/FEK_1506_B_4-5-2012.pdf" TargetMode="External"/><Relationship Id="rId21" Type="http://schemas.openxmlformats.org/officeDocument/2006/relationships/hyperlink" Target="http://www.who.int/classifications/icf/whodasii/en/" TargetMode="External"/><Relationship Id="rId7" Type="http://schemas.openxmlformats.org/officeDocument/2006/relationships/hyperlink" Target="http://www.synigoros.gr/resources/docs/130404-special-report.pdf" TargetMode="External"/><Relationship Id="rId12" Type="http://schemas.openxmlformats.org/officeDocument/2006/relationships/hyperlink" Target="https://www.special-learning.com/article/vineland_adaptive_behavior_scales" TargetMode="External"/><Relationship Id="rId17" Type="http://schemas.openxmlformats.org/officeDocument/2006/relationships/hyperlink" Target="http://opeka.gr/wp-content/uploads/2018/02/KYA-atoma-me-anapiria.pdf" TargetMode="External"/><Relationship Id="rId25" Type="http://schemas.openxmlformats.org/officeDocument/2006/relationships/hyperlink" Target="https://www.hellenicparliament.gr/UserFiles/bcc26661-143b-4f2d-8916-0e0e66ba4c50/e-anadec-pap_apospasma.pdf" TargetMode="External"/><Relationship Id="rId33" Type="http://schemas.openxmlformats.org/officeDocument/2006/relationships/hyperlink" Target="http://www.parliament.gr/Nomothetiko-Ergo/Anazitisi-Nomothetikou-Ergou?law_id=b8e96a13-bde1-47bc-a835-a7de0147c297" TargetMode="External"/><Relationship Id="rId2" Type="http://schemas.openxmlformats.org/officeDocument/2006/relationships/hyperlink" Target="http://www.opengov.gr/ypepth/wp-content/uploads/downloads/2018/03/ypepth.pdf" TargetMode="External"/><Relationship Id="rId16" Type="http://schemas.openxmlformats.org/officeDocument/2006/relationships/hyperlink" Target="http://opeka.gr/wp-content/uploads/2018/02/pilotiko-pronomiakon-paroxon-atoma-me-anapiria-215_n4512-2018.pdf" TargetMode="External"/><Relationship Id="rId20" Type="http://schemas.openxmlformats.org/officeDocument/2006/relationships/hyperlink" Target="https://www.dikaiologitika.gr/eidhseis/asfalish/191122/vima-vima-to-pilotiko-programma-ton-pronoiakon-epidomaton-anapirias" TargetMode="External"/><Relationship Id="rId29" Type="http://schemas.openxmlformats.org/officeDocument/2006/relationships/hyperlink" Target="https://www.alfavita.gr/sites/default/files/attachments/fek4511_lixi-thiteias-sholikon-symvoylon.pdf" TargetMode="External"/><Relationship Id="rId1" Type="http://schemas.openxmlformats.org/officeDocument/2006/relationships/hyperlink" Target="http://www.diva-portal.org/smash/get/diva2:1098338/FULLTEXT01.pdf" TargetMode="External"/><Relationship Id="rId6" Type="http://schemas.openxmlformats.org/officeDocument/2006/relationships/hyperlink" Target="https://drive.google.com/file/d/0B2q6YQEWX7zLZDI0MzNhNTMtYzYxYy00MjZmLWFkNjQtZGExZTcyOTJiMjJk/view" TargetMode="External"/><Relationship Id="rId11" Type="http://schemas.openxmlformats.org/officeDocument/2006/relationships/hyperlink" Target="https://www.noesi.gr/sites/default/files/posts/ypomnima_goneon_melon_thesmikon_foreon_gia_ta_atoma_me_diatarahi_aytistikoy_fasmatos_08.02.2018.pdf" TargetMode="External"/><Relationship Id="rId24" Type="http://schemas.openxmlformats.org/officeDocument/2006/relationships/hyperlink" Target="https://www.noesi.gr/post/ypomnima-goneon-melon-thesmikon-foreon-gia-ta-atoma-diatarahi-aytistikoy-fasmatos-08022018" TargetMode="External"/><Relationship Id="rId32" Type="http://schemas.openxmlformats.org/officeDocument/2006/relationships/hyperlink" Target="https://www.synigoros.gr/resources/ee2016-11-ekpaideusi.pdf" TargetMode="External"/><Relationship Id="rId5" Type="http://schemas.openxmlformats.org/officeDocument/2006/relationships/hyperlink" Target="https://drive.google.com/file/d/0B2q6YQEWX7zLZWE2NzlhYjMtYmM5ZC00YjY5LWE5MTctMTExNDgyZDMzNjQw/view" TargetMode="External"/><Relationship Id="rId15" Type="http://schemas.openxmlformats.org/officeDocument/2006/relationships/hyperlink" Target="https://www.noesi.gr/post/ypomnima-goneon-melon-thesmikon-foreon-gia-ta-atoma-diatarahi-aytistikoy-fasmatos-08022018" TargetMode="External"/><Relationship Id="rId23" Type="http://schemas.openxmlformats.org/officeDocument/2006/relationships/hyperlink" Target="http://esaea.gr/pressoffice/press-releases/3691-i-esamea-gia-to-polynomosxedio-sti-boyli-i-apaitisi-ton-daneiston-tis-xoras-gia-tin-eisagogi-tis-leitoyrgikotitas-stin-pistopoiisi-tis-anapirias-einai-paralogi-adikaiologiti-kai-exthriki" TargetMode="External"/><Relationship Id="rId28" Type="http://schemas.openxmlformats.org/officeDocument/2006/relationships/hyperlink" Target="https://www.hellenicparliament.gr/UserFiles/bcc26661-143b-4f2d-8916-0e0e66ba4c50/e-anadec-pap_apospasma.pdf" TargetMode="External"/><Relationship Id="rId10" Type="http://schemas.openxmlformats.org/officeDocument/2006/relationships/hyperlink" Target="https://www.noesi.gr/sites/default/files/posts/ypomnima_goneon_melon_thesmikon_foreon_gia_ta_atoma_me_diatarahi_aytistikoy_fasmatos_08.02.2018.pdf" TargetMode="External"/><Relationship Id="rId19" Type="http://schemas.openxmlformats.org/officeDocument/2006/relationships/hyperlink" Target="https://opeka.gr/wp-content/uploads/2018/03/%CE%9D-4520-2018.pdf" TargetMode="External"/><Relationship Id="rId31" Type="http://schemas.openxmlformats.org/officeDocument/2006/relationships/hyperlink" Target="http://www.statistics.gr/el/statistics/-/publication/SED41/-" TargetMode="External"/><Relationship Id="rId4" Type="http://schemas.openxmlformats.org/officeDocument/2006/relationships/hyperlink" Target="http://www.nomotelia.gr/photos/File/4591B-17.pdf" TargetMode="External"/><Relationship Id="rId9" Type="http://schemas.openxmlformats.org/officeDocument/2006/relationships/hyperlink" Target="https://www.noesi.gr/sites/default/files/posts/lista-43-mi-anastrepsimes-pathiseis-fek-2906_18_11_2013-noesigr.pdf" TargetMode="External"/><Relationship Id="rId14" Type="http://schemas.openxmlformats.org/officeDocument/2006/relationships/hyperlink" Target="https://research.agre.org/program/aboutadi.cfm" TargetMode="External"/><Relationship Id="rId22" Type="http://schemas.openxmlformats.org/officeDocument/2006/relationships/hyperlink" Target="https://thessaloniki.gr/wp-content/uploads/2018/07/%CE%BF%CE%B4%CE%B7%CE%B3%CE%BF%CF%82_3-7-2018_%CE%BD%CE%B5%CE%BF.pdf" TargetMode="External"/><Relationship Id="rId27" Type="http://schemas.openxmlformats.org/officeDocument/2006/relationships/hyperlink" Target="http://www.opengov.gr/ypepth/wp-content/uploads/downloads/2018/03/ypepth.pdf" TargetMode="External"/><Relationship Id="rId30" Type="http://schemas.openxmlformats.org/officeDocument/2006/relationships/hyperlink" Target="https://www.esos.gr/arthra/47787/poiotika-kai-posotika-haraktiristika-ton-domon-eidikis-agogis-kai-ekpaideysis-s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265ED-C68F-46DB-9813-1647036C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8290</Words>
  <Characters>45599</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
    </vt:vector>
  </TitlesOfParts>
  <Company>Maastricht University</Company>
  <LinksUpToDate>false</LinksUpToDate>
  <CharactersWithSpaces>53782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AthenaDesktop</dc:creator>
  <cp:lastModifiedBy>Rebecca van Midden</cp:lastModifiedBy>
  <cp:revision>3</cp:revision>
  <cp:lastPrinted>2018-03-03T10:34:00Z</cp:lastPrinted>
  <dcterms:created xsi:type="dcterms:W3CDTF">2019-01-23T15:09:00Z</dcterms:created>
  <dcterms:modified xsi:type="dcterms:W3CDTF">2019-01-23T15:25:00Z</dcterms:modified>
</cp:coreProperties>
</file>